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01-A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EMPLOYMENT OFFER LETTER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Employee Onboarding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01-A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p>
      <w:r>
        <w:rPr>
          <w:rFonts w:ascii="Arial" w:hAnsi="Arial"/>
          <w:color w:val="1A1A1A"/>
          <w:sz w:val="22"/>
        </w:rPr>
        <w:t>Date: ______________________________</w:t>
      </w:r>
    </w:p>
    <w:p/>
    <w:p>
      <w:r>
        <w:rPr>
          <w:rFonts w:ascii="Arial" w:hAnsi="Arial"/>
          <w:color w:val="1A1A1A"/>
          <w:sz w:val="22"/>
        </w:rPr>
        <w:t>Dear [Candidate Name],</w:t>
      </w:r>
    </w:p>
    <w:p/>
    <w:p>
      <w:r>
        <w:rPr>
          <w:rFonts w:ascii="Arial" w:hAnsi="Arial"/>
          <w:color w:val="1A1A1A"/>
          <w:sz w:val="22"/>
        </w:rPr>
        <w:t>On behalf of MH Construction, Inc., we are pleased to extend this conditional offer of employment for the position described below. This offer is contingent upon successful completion of a pre-employment drug screen, background check, and verification of eligibility to work in the United States.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8"/>
        <w:gridCol w:w="5148"/>
      </w:tblGrid>
      <w:tr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Position Title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Department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Reports To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Start Date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Employment Type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Full-Time / Part-Time / Seasonal</w:t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Hourly Rate / Salary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$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Work Location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Pasco, WA</w:t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Hours Per Week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Benefits Eligible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Yes / No</w:t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Probationary Period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90 Days</w:t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Conditions of Employment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This offer is contingent upon passing a pre-employment drug and alcohol screen per MISH-06.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Employment is at-will and may be terminated by either party at any time.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Employee must provide valid I-9 documentation on or before the first day of work.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Employee must complete all onboarding forms and safety orientation (MISH-04) within 72 hours of start.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Washington State New Hire Reporting will be submitted to DSHS within 20 days per RCW 26.23.040.</w:t>
      </w:r>
    </w:p>
    <w:p/>
    <w:p>
      <w:r>
        <w:rPr>
          <w:rFonts w:ascii="Arial" w:hAnsi="Arial"/>
          <w:b/>
          <w:color w:val="1A1A1A"/>
          <w:sz w:val="22"/>
        </w:rPr>
        <w:t>Washington State Notices</w:t>
      </w:r>
    </w:p>
    <w:p>
      <w:pPr>
        <w:ind w:left="720"/>
      </w:pPr>
      <w:r>
        <w:rPr>
          <w:rFonts w:ascii="Arial" w:hAnsi="Arial"/>
          <w:color w:val="1A1A1A"/>
          <w:sz w:val="22"/>
        </w:rPr>
        <w:t>As a Washington State employer, MH Construction, Inc. is required to notify you of the following deductions that will be withheld from your paycheck: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32"/>
        <w:gridCol w:w="3432"/>
        <w:gridCol w:w="3432"/>
      </w:tblGrid>
      <w:tr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Deduction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Rate (2026)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Authority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WA Paid Family &amp; Medical Leave (PFML)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Employee share per current rate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RCW 50A</w:t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WA Cares Fund (Long-Term Care)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0.58% of gross wages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RCW 50B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WA State Income Tax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None (WA has no state income tax)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N/A</w:t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L&amp;I Workers' Compensation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Per L&amp;I rate schedule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RCW 51</w:t>
            </w:r>
          </w:p>
        </w:tc>
      </w:tr>
    </w:tbl>
    <w:p/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Hiring Manager / President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Candidate Acknowledgment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04EF15-A83A-4787-94AB-567708DA7A46}"/>
</file>

<file path=customXml/itemProps3.xml><?xml version="1.0" encoding="utf-8"?>
<ds:datastoreItem xmlns:ds="http://schemas.openxmlformats.org/officeDocument/2006/customXml" ds:itemID="{C1C840AC-ABD5-403D-8595-DA9EBEB11F3C}"/>
</file>

<file path=customXml/itemProps4.xml><?xml version="1.0" encoding="utf-8"?>
<ds:datastoreItem xmlns:ds="http://schemas.openxmlformats.org/officeDocument/2006/customXml" ds:itemID="{3A945FA0-C66D-4891-86FF-08CE1548302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