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HANDBOOK 04</w:t>
      </w:r>
    </w:p>
    <w:p>
      <w:pPr>
        <w:spacing w:after="400"/>
      </w:pPr>
      <w:r>
        <w:rPr>
          <w:b/>
          <w:bCs/>
          <w:sz w:val="32"/>
          <w:szCs w:val="32"/>
        </w:rPr>
        <w:t xml:space="preserve">Compensation</w:t>
      </w:r>
    </w:p>
    <w:p>
      <w:pPr>
        <w:spacing w:after="400"/>
      </w:pPr>
      <w:r>
        <w:rPr>
          <w:sz w:val="24"/>
          <w:szCs w:val="24"/>
        </w:rPr>
        <w:t xml:space="preserve">Pay, Overtime, Bonuses, Garnishment</w:t>
      </w:r>
    </w:p>
    <w:p>
      <w:pPr>
        <w:spacing w:after="200"/>
      </w:pPr>
      <w:r>
        <w:rPr>
          <w:sz w:val="22"/>
          <w:szCs w:val="22"/>
        </w:rPr>
        <w:t xml:space="preserve">Compensation policies covering timekeeping, regular pay, overtime, bonuses and incentives, and wage garnishment procedures.</w:t>
      </w:r>
    </w:p>
    <w:p>
      <w:pPr>
        <w:spacing w:after="100" w:before="400"/>
      </w:pPr>
      <w:r>
        <w:rPr>
          <w:i/>
          <w:iCs/>
          <w:sz w:val="20"/>
          <w:szCs w:val="20"/>
        </w:rPr>
        <w:t xml:space="preserve">MH Construction, Inc.</w:t>
      </w:r>
    </w:p>
    <w:p>
      <w:r>
        <w:rPr>
          <w:i/>
          <w:iCs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2026-06-24T15:54:24.440Z</dcterms:created>
  <dcterms:modified xsi:type="dcterms:W3CDTF">2026-06-24T15:54:24.440Z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