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HANDBOOK 02</w:t>
      </w:r>
    </w:p>
    <w:p>
      <w:pPr>
        <w:spacing w:after="400"/>
      </w:pPr>
      <w:r>
        <w:rPr>
          <w:b/>
          <w:bCs/>
          <w:sz w:val="32"/>
          <w:szCs w:val="32"/>
        </w:rPr>
        <w:t xml:space="preserve">Company Policies</w:t>
      </w:r>
    </w:p>
    <w:p>
      <w:pPr>
        <w:spacing w:after="400"/>
      </w:pPr>
      <w:r>
        <w:rPr>
          <w:sz w:val="24"/>
          <w:szCs w:val="24"/>
        </w:rPr>
        <w:t xml:space="preserve">Employment Opportunity, Conduct, Leave, Property, Confidentiality</w:t>
      </w:r>
    </w:p>
    <w:p>
      <w:pPr>
        <w:spacing w:after="200"/>
      </w:pPr>
      <w:r>
        <w:rPr>
          <w:sz w:val="22"/>
          <w:szCs w:val="22"/>
        </w:rPr>
        <w:t xml:space="preserve">Company-wide policies covering equal employment opportunity, anti-harassment, non-violence, drug and alcohol policy, dress code, conduct, leave policies, property expectations, confidentiality, vehicle policies, and work-from-home guidelines.</w:t>
      </w:r>
    </w:p>
    <w:p>
      <w:pPr>
        <w:spacing w:after="100" w:before="400"/>
      </w:pPr>
      <w:r>
        <w:rPr>
          <w:i/>
          <w:iCs/>
          <w:sz w:val="20"/>
          <w:szCs w:val="20"/>
        </w:rPr>
        <w:t xml:space="preserve">MH Construction, Inc.</w:t>
      </w:r>
    </w:p>
    <w:p>
      <w:r>
        <w:rPr>
          <w:i/>
          <w:iCs/>
          <w:sz w:val="20"/>
          <w:szCs w:val="20"/>
        </w:rPr>
        <w:t xml:space="preserve">3111 N. Capitol Ave., Pasco, WA 99301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2026-06-24T15:54:24.362Z</dcterms:created>
  <dcterms:modified xsi:type="dcterms:W3CDTF">2026-06-24T15:54:24.362Z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