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MH Construction, Inc.</w:t>
      </w:r>
    </w:p>
    <w:p>
      <w:pPr>
        <w:jc w:val="center"/>
      </w:pPr>
      <w:r>
        <w:t>Industrial Safety &amp; Health Program (MISH)</w:t>
      </w:r>
    </w:p>
    <w:p>
      <w:pPr>
        <w:jc w:val="center"/>
      </w:pPr>
      <w:r>
        <w:t>MISH 03 | Program Policy and Requirements</w:t>
      </w:r>
    </w:p>
    <w:p>
      <w:pPr>
        <w:jc w:val="center"/>
      </w:pPr>
      <w:r>
        <w:t>Revision 3 | Effective: 04/07/2026 | Safety Officer: Matt Ramsey</w:t>
      </w:r>
    </w:p>
    <w:p>
      <w:r>
        <w:t>──────────────────────────────────────────────────</w:t>
      </w:r>
    </w:p>
    <w:p>
      <w:pPr>
        <w:pStyle w:val="Heading1"/>
      </w:pPr>
      <w:r>
        <w:t>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Pr>
          <w:p>
            <w:r>
              <w:t>Authority</w:t>
            </w:r>
          </w:p>
        </w:tc>
        <w:tc>
          <w:tcPr>
            <w:tcW w:type="dxa" w:w="3000"/>
          </w:tcPr>
          <w:p>
            <w:r>
              <w:t>Citation</w:t>
            </w:r>
          </w:p>
        </w:tc>
        <w:tc>
          <w:tcPr>
            <w:tcW w:type="dxa" w:w="3000"/>
          </w:tcPr>
          <w:p>
            <w:r>
              <w:t>Title/Description</w:t>
            </w:r>
          </w:p>
        </w:tc>
      </w:tr>
      <w:tr>
        <w:tc>
          <w:tcPr>
            <w:tcW w:type="dxa" w:w="3000"/>
          </w:tcPr>
          <w:p>
            <w:r>
              <w:t>OSHA</w:t>
            </w:r>
          </w:p>
        </w:tc>
        <w:tc>
          <w:tcPr>
            <w:tcW w:type="dxa" w:w="3000"/>
          </w:tcPr>
          <w:p>
            <w:r>
              <w:t>29 CFR</w:t>
            </w:r>
          </w:p>
        </w:tc>
        <w:tc>
          <w:tcPr>
            <w:tcW w:type="dxa" w:w="3000"/>
          </w:tcPr>
          <w:p>
            <w:r>
              <w:t>1926.20 General Safety</w:t>
            </w:r>
          </w:p>
        </w:tc>
      </w:tr>
      <w:tr>
        <w:tc>
          <w:tcPr>
            <w:tcW w:type="dxa" w:w="3000"/>
          </w:tcPr>
          <w:p>
            <w:r>
              <w:t>OSHA</w:t>
            </w:r>
          </w:p>
        </w:tc>
        <w:tc>
          <w:tcPr>
            <w:tcW w:type="dxa" w:w="3000"/>
          </w:tcPr>
          <w:p>
            <w:r>
              <w:t>29 CFR</w:t>
            </w:r>
          </w:p>
        </w:tc>
        <w:tc>
          <w:tcPr>
            <w:tcW w:type="dxa" w:w="3000"/>
          </w:tcPr>
          <w:p>
            <w:r>
              <w:t>1926.21(b) Safety Training and Education</w:t>
            </w:r>
          </w:p>
        </w:tc>
      </w:tr>
      <w:tr>
        <w:tc>
          <w:tcPr>
            <w:tcW w:type="dxa" w:w="3000"/>
          </w:tcPr>
          <w:p>
            <w:r>
              <w:t>WISHA</w:t>
            </w:r>
          </w:p>
        </w:tc>
        <w:tc>
          <w:tcPr>
            <w:tcW w:type="dxa" w:w="3000"/>
          </w:tcPr>
          <w:p>
            <w:r>
              <w:t>WAC</w:t>
            </w:r>
          </w:p>
        </w:tc>
        <w:tc>
          <w:tcPr>
            <w:tcW w:type="dxa" w:w="3000"/>
          </w:tcPr>
          <w:p>
            <w:r>
              <w:t>296-155-100</w:t>
            </w:r>
          </w:p>
        </w:tc>
      </w:tr>
      <w:tr>
        <w:tc>
          <w:tcPr>
            <w:tcW w:type="dxa" w:w="3000"/>
          </w:tcPr>
          <w:p>
            <w:r>
              <w:t>WISHA</w:t>
            </w:r>
          </w:p>
        </w:tc>
        <w:tc>
          <w:tcPr>
            <w:tcW w:type="dxa" w:w="3000"/>
          </w:tcPr>
          <w:p>
            <w:r>
              <w:t>WAC</w:t>
            </w:r>
          </w:p>
        </w:tc>
        <w:tc>
          <w:tcPr>
            <w:tcW w:type="dxa" w:w="3000"/>
          </w:tcPr>
          <w:p>
            <w:r>
              <w:t>296-155-105</w:t>
            </w:r>
          </w:p>
        </w:tc>
      </w:tr>
      <w:tr>
        <w:tc>
          <w:tcPr>
            <w:tcW w:type="dxa" w:w="3000"/>
          </w:tcPr>
          <w:p>
            <w:r>
              <w:t>WISHA</w:t>
            </w:r>
          </w:p>
        </w:tc>
        <w:tc>
          <w:tcPr>
            <w:tcW w:type="dxa" w:w="3000"/>
          </w:tcPr>
          <w:p>
            <w:r>
              <w:t>WAC</w:t>
            </w:r>
          </w:p>
        </w:tc>
        <w:tc>
          <w:tcPr>
            <w:tcW w:type="dxa" w:w="3000"/>
          </w:tcPr>
          <w:p>
            <w:r>
              <w:t>296-155-110</w:t>
            </w:r>
          </w:p>
        </w:tc>
      </w:tr>
      <w:tr>
        <w:tc>
          <w:tcPr>
            <w:tcW w:type="dxa" w:w="3000"/>
          </w:tcPr>
          <w:p>
            <w:r>
              <w:t>WISHA</w:t>
            </w:r>
          </w:p>
        </w:tc>
        <w:tc>
          <w:tcPr>
            <w:tcW w:type="dxa" w:w="3000"/>
          </w:tcPr>
          <w:p>
            <w:r>
              <w:t>WAC</w:t>
            </w:r>
          </w:p>
        </w:tc>
        <w:tc>
          <w:tcPr>
            <w:tcW w:type="dxa" w:w="3000"/>
          </w:tcPr>
          <w:p>
            <w:r>
              <w:t>296-155-115 Safety Bulletin Board</w:t>
            </w:r>
          </w:p>
        </w:tc>
      </w:tr>
      <w:tr>
        <w:tc>
          <w:tcPr>
            <w:tcW w:type="dxa" w:w="3000"/>
          </w:tcPr>
          <w:p>
            <w:r>
              <w:t>AGC</w:t>
            </w:r>
          </w:p>
        </w:tc>
        <w:tc>
          <w:tcPr>
            <w:tcW w:type="dxa" w:w="3000"/>
          </w:tcPr>
          <w:p>
            <w:r>
              <w:t>SHIP Best Practices Handbook</w:t>
            </w:r>
          </w:p>
        </w:tc>
        <w:tc>
          <w:tcPr>
            <w:tcW w:type="dxa" w:w="3000"/>
          </w:tcPr>
          <w:p>
            <w:r/>
          </w:p>
        </w:tc>
      </w:tr>
      <w:tr>
        <w:tc>
          <w:tcPr>
            <w:tcW w:type="dxa" w:w="3000"/>
          </w:tcPr>
          <w:p>
            <w:r>
              <w:t>AGC</w:t>
            </w:r>
          </w:p>
        </w:tc>
        <w:tc>
          <w:tcPr>
            <w:tcW w:type="dxa" w:w="3000"/>
          </w:tcPr>
          <w:p>
            <w:r>
              <w:t>AGC CSEA Program Requirements</w:t>
            </w:r>
          </w:p>
        </w:tc>
        <w:tc>
          <w:tcPr>
            <w:tcW w:type="dxa" w:w="3000"/>
          </w:tcPr>
          <w:p>
            <w:r/>
          </w:p>
        </w:tc>
      </w:tr>
    </w:tbl>
    <w:p>
      <w:r>
        <w:br/>
      </w:r>
    </w:p>
    <w:p>
      <w:pPr>
        <w:pStyle w:val="Heading1"/>
      </w:pPr>
      <w:r>
        <w:t>Purpose</w:t>
      </w:r>
    </w:p>
    <w:p>
      <w:r>
        <w:t>This policy establishes the framework for a safe and healthy work environment at MH Construction, Inc. It aims to prevent workplace injuries, illnesses, and fatalities by outlining clear guidelines and responsibilities for all personnel involved in company operations.</w:t>
      </w:r>
    </w:p>
    <w:p>
      <w:pPr>
        <w:pStyle w:val="Heading1"/>
      </w:pPr>
      <w:r>
        <w:t>Scope</w:t>
      </w:r>
    </w:p>
    <w:p>
      <w:r>
        <w:t>This policy applies to all MH Construction, Inc. employees, subcontractors, and visitors on MH Construction job sites. Adherence to these requirements is mandatory to ensure compliance with regulatory standards and company safety objectives.</w:t>
      </w:r>
    </w:p>
    <w:p>
      <w:pPr>
        <w:pStyle w:val="Heading1"/>
      </w:pPr>
      <w:r>
        <w:t>Definitions</w:t>
      </w:r>
    </w:p>
    <w:tbl>
      <w:tblPr>
        <w:tblStyle w:val="TableGrid"/>
        <w:tblW w:type="auto" w:w="0"/>
        <w:tblLook w:firstColumn="1" w:firstRow="1" w:lastColumn="0" w:lastRow="0" w:noHBand="0" w:noVBand="1" w:val="04A0"/>
      </w:tblPr>
      <w:tblGrid>
        <w:gridCol w:w="4500"/>
        <w:gridCol w:w="4500"/>
      </w:tblGrid>
      <w:tr>
        <w:tc>
          <w:tcPr>
            <w:tcW w:type="dxa" w:w="4500"/>
          </w:tcPr>
          <w:p>
            <w:r>
              <w:t>Term</w:t>
            </w:r>
          </w:p>
        </w:tc>
        <w:tc>
          <w:tcPr>
            <w:tcW w:type="dxa" w:w="4500"/>
          </w:tcPr>
          <w:p>
            <w:r>
              <w:t>Definition</w:t>
            </w:r>
          </w:p>
        </w:tc>
      </w:tr>
      <w:tr>
        <w:tc>
          <w:tcPr>
            <w:tcW w:type="dxa" w:w="4500"/>
          </w:tcPr>
          <w:p>
            <w:r>
              <w:t>Competent Person</w:t>
            </w:r>
          </w:p>
        </w:tc>
        <w:tc>
          <w:tcPr>
            <w:tcW w:type="dxa" w:w="4500"/>
          </w:tcPr>
          <w:p>
            <w:r>
              <w:t>One who is capable of identifying existing and predictable hazards in the surroundings or working conditions which are unsanitary, hazardous, or dangerous to employees, and who has authorization to take prompt corrective measures to eliminate them.</w:t>
            </w:r>
          </w:p>
        </w:tc>
      </w:tr>
      <w:tr>
        <w:tc>
          <w:tcPr>
            <w:tcW w:type="dxa" w:w="4500"/>
          </w:tcPr>
          <w:p>
            <w:r>
              <w:t>Hazard</w:t>
            </w:r>
          </w:p>
        </w:tc>
        <w:tc>
          <w:tcPr>
            <w:tcW w:type="dxa" w:w="4500"/>
          </w:tcPr>
          <w:p>
            <w:r>
              <w:t>A condition or situation that has the potential for harm or adverse health effects on people, property, or the environment.</w:t>
            </w:r>
          </w:p>
        </w:tc>
      </w:tr>
      <w:tr>
        <w:tc>
          <w:tcPr>
            <w:tcW w:type="dxa" w:w="4500"/>
          </w:tcPr>
          <w:p>
            <w:r>
              <w:t>MISH Program</w:t>
            </w:r>
          </w:p>
        </w:tc>
        <w:tc>
          <w:tcPr>
            <w:tcW w:type="dxa" w:w="4500"/>
          </w:tcPr>
          <w:p>
            <w:r>
              <w:t>MH Construction Industrial Safety &amp; Health Program Manual, a comprehensive document outlining the company's safety policies, procedures, and requirements.</w:t>
            </w:r>
          </w:p>
        </w:tc>
      </w:tr>
      <w:tr>
        <w:tc>
          <w:tcPr>
            <w:tcW w:type="dxa" w:w="4500"/>
          </w:tcPr>
          <w:p>
            <w:r>
              <w:t>OSHA</w:t>
            </w:r>
          </w:p>
        </w:tc>
        <w:tc>
          <w:tcPr>
            <w:tcW w:type="dxa" w:w="4500"/>
          </w:tcPr>
          <w:p>
            <w:r>
              <w:t>Occupational Safety and Health Administration, a federal agency that sets and enforces protective workplace safety and health standards.</w:t>
            </w:r>
          </w:p>
        </w:tc>
      </w:tr>
      <w:tr>
        <w:tc>
          <w:tcPr>
            <w:tcW w:type="dxa" w:w="4500"/>
          </w:tcPr>
          <w:p>
            <w:r>
              <w:t>WISHA</w:t>
            </w:r>
          </w:p>
        </w:tc>
        <w:tc>
          <w:tcPr>
            <w:tcW w:type="dxa" w:w="4500"/>
          </w:tcPr>
          <w:p>
            <w:r>
              <w:t>Washington Industrial Safety and Health Act, the state-level occupational safety and health program in Washington, often more stringent than federal OSHA.</w:t>
            </w:r>
          </w:p>
        </w:tc>
      </w:tr>
    </w:tbl>
    <w:p>
      <w:r>
        <w:br/>
      </w:r>
    </w:p>
    <w:p>
      <w:pPr>
        <w:pStyle w:val="Heading1"/>
      </w:pPr>
      <w:r>
        <w:t>Responsibilities</w:t>
      </w:r>
    </w:p>
    <w:p>
      <w:pPr>
        <w:pStyle w:val="Heading2"/>
      </w:pPr>
      <w:r>
        <w:t>Company/Management Responsibilities</w:t>
      </w:r>
    </w:p>
    <w:p>
      <w:pPr>
        <w:pStyle w:val="ListBullet"/>
      </w:pPr>
      <w:r>
        <w:t>Establish and maintain a safe and healthy work environment.</w:t>
      </w:r>
    </w:p>
    <w:p>
      <w:pPr>
        <w:pStyle w:val="ListBullet"/>
      </w:pPr>
      <w:r>
        <w:t>Provide necessary resources for safety programs.</w:t>
      </w:r>
    </w:p>
    <w:p>
      <w:pPr>
        <w:pStyle w:val="ListBullet"/>
      </w:pPr>
      <w:r>
        <w:t>Ensure compliance with all applicable safety regulations.</w:t>
      </w:r>
    </w:p>
    <w:p>
      <w:pPr>
        <w:pStyle w:val="ListBullet"/>
      </w:pPr>
      <w:r>
        <w:t>Conduct regular safety audits and reviews.</w:t>
      </w:r>
    </w:p>
    <w:p>
      <w:pPr>
        <w:pStyle w:val="Heading2"/>
      </w:pPr>
      <w:r>
        <w:t>Supervisor/Foreman Responsibilities</w:t>
      </w:r>
    </w:p>
    <w:p>
      <w:pPr>
        <w:pStyle w:val="ListBullet"/>
      </w:pPr>
      <w:r>
        <w:t>Enforce safety policies and procedures on job sites.</w:t>
      </w:r>
    </w:p>
    <w:p>
      <w:pPr>
        <w:pStyle w:val="ListBullet"/>
      </w:pPr>
      <w:r>
        <w:t>Conduct regular safety inspections and toolbox talks.</w:t>
      </w:r>
    </w:p>
    <w:p>
      <w:pPr>
        <w:pStyle w:val="ListBullet"/>
      </w:pPr>
      <w:r>
        <w:t>Ensure employees are properly trained and equipped.</w:t>
      </w:r>
    </w:p>
    <w:p>
      <w:pPr>
        <w:pStyle w:val="ListBullet"/>
      </w:pPr>
      <w:r>
        <w:t>Investigate all incidents and near-misses.</w:t>
      </w:r>
    </w:p>
    <w:p>
      <w:pPr>
        <w:pStyle w:val="Heading2"/>
      </w:pPr>
      <w:r>
        <w:t>Employee Responsibilities</w:t>
      </w:r>
    </w:p>
    <w:p>
      <w:pPr>
        <w:pStyle w:val="ListBullet"/>
      </w:pPr>
      <w:r>
        <w:t>Adhere to all safety rules and procedures.</w:t>
      </w:r>
    </w:p>
    <w:p>
      <w:pPr>
        <w:pStyle w:val="ListBullet"/>
      </w:pPr>
      <w:r>
        <w:t>Report hazards, incidents, and near-misses immediately.</w:t>
      </w:r>
    </w:p>
    <w:p>
      <w:pPr>
        <w:pStyle w:val="ListBullet"/>
      </w:pPr>
      <w:r>
        <w:t>Use personal protective equipment (PPE) correctly.</w:t>
      </w:r>
    </w:p>
    <w:p>
      <w:pPr>
        <w:pStyle w:val="ListBullet"/>
      </w:pPr>
      <w:r>
        <w:t>Participate in safety training programs.</w:t>
      </w:r>
    </w:p>
    <w:p>
      <w:pPr>
        <w:pStyle w:val="Heading2"/>
      </w:pPr>
      <w:r>
        <w:t>Subcontractor Responsibilities</w:t>
      </w:r>
    </w:p>
    <w:p>
      <w:pPr>
        <w:pStyle w:val="ListBullet"/>
      </w:pPr>
      <w:r>
        <w:t>Comply with MH Construction's safety policies and all applicable regulations.</w:t>
      </w:r>
    </w:p>
    <w:p>
      <w:pPr>
        <w:pStyle w:val="ListBullet"/>
      </w:pPr>
      <w:r>
        <w:t>Provide their employees with necessary safety training and equipment.</w:t>
      </w:r>
    </w:p>
    <w:p>
      <w:pPr>
        <w:pStyle w:val="ListBullet"/>
      </w:pPr>
      <w:r>
        <w:t>Coordinate safety efforts with MH Construction site management.</w:t>
      </w:r>
    </w:p>
    <w:p>
      <w:pPr>
        <w:pStyle w:val="ListBullet"/>
      </w:pPr>
      <w:r>
        <w:t>Report all incidents involving their personnel to MH Construction.</w:t>
      </w:r>
    </w:p>
    <w:p>
      <w:pPr>
        <w:pStyle w:val="Heading1"/>
      </w:pPr>
      <w:r>
        <w:t>Procedures / Requirements</w:t>
      </w:r>
    </w:p>
    <w:p>
      <w:pPr>
        <w:pStyle w:val="Heading2"/>
      </w:pPr>
      <w:r>
        <w:t>7.1 General Safety and Health Provisions</w:t>
      </w:r>
    </w:p>
    <w:p>
      <w:r>
        <w:t>MH Construction will initiate and maintain accident prevention programs to ensure safe working conditions. These programs will include frequent and regular inspections of job sites, materials, and equipment by competent persons. Per 29 CFR 1926.20 General Safety, all employers must comply with the safety and health standards.</w:t>
      </w:r>
    </w:p>
    <w:p>
      <w:pPr>
        <w:pStyle w:val="Heading2"/>
      </w:pPr>
      <w:r>
        <w:t>7.2 Safety Training and Education</w:t>
      </w:r>
    </w:p>
    <w:p>
      <w:r>
        <w:t>All employees will receive training to recognize and avoid unsafe conditions and to understand the regulations applicable to their work environment. This training will be conducted by competent persons. Per 29 CFR 1926.21(b) Safety Training and Education, employers must instruct each employee in the recognition and avoidance of unsafe conditions.</w:t>
      </w:r>
    </w:p>
    <w:p>
      <w:pPr>
        <w:pStyle w:val="Heading2"/>
      </w:pPr>
      <w:r>
        <w:t>7.3 Accident Prevention Program (APP)</w:t>
      </w:r>
    </w:p>
    <w:p>
      <w:r>
        <w:t>MH Construction maintains a written Accident Prevention Program (APP) as required by WAC 296-155-100. This program is designed to effectively implement the requirements of the WISHA safety and health standards and to address the specific hazards of our operations.</w:t>
      </w:r>
    </w:p>
    <w:p>
      <w:pPr>
        <w:pStyle w:val="Heading2"/>
      </w:pPr>
      <w:r>
        <w:t>7.4 Safety Meetings</w:t>
      </w:r>
    </w:p>
    <w:p>
      <w:r>
        <w:t>Regular safety meetings will be held with all employees to discuss safety performance, review incidents, and provide ongoing training. These meetings will be documented. Per WAC 296-155-105, employers must hold safety meetings at least monthly for all employees.</w:t>
      </w:r>
    </w:p>
    <w:p>
      <w:pPr>
        <w:pStyle w:val="Heading2"/>
      </w:pPr>
      <w:r>
        <w:t>7.5 Safety and Health Committee</w:t>
      </w:r>
    </w:p>
    <w:p>
      <w:r>
        <w:t>A safety and health committee will be established and maintained in accordance with WAC 296-155-110. This committee will assist in the development and implementation of the APP, conduct inspections, and review incident reports.</w:t>
      </w:r>
    </w:p>
    <w:p>
      <w:pPr>
        <w:pStyle w:val="Heading2"/>
      </w:pPr>
      <w:r>
        <w:t>7.6 Safety Bulletin Board</w:t>
      </w:r>
    </w:p>
    <w:p>
      <w:r>
        <w:t>A safety bulletin board will be maintained at each job site, displaying required posters, emergency contact information, and safety-related notices. Per WAC 296-155-115 Safety Bulletin Board, specific information must be posted for employee access.</w:t>
      </w:r>
    </w:p>
    <w:p>
      <w:pPr>
        <w:pStyle w:val="Heading2"/>
      </w:pPr>
      <w:r>
        <w:t>7.7 AGC Best Practices</w:t>
      </w:r>
    </w:p>
    <w:p>
      <w:r>
        <w:t>MH Construction incorporates best practices from the AGC SHIP Best Practices Handbook to enhance our safety program beyond minimum regulatory requirements, focusing on proactive hazard identification and risk mitigation.</w:t>
      </w:r>
    </w:p>
    <w:p>
      <w:pPr>
        <w:pStyle w:val="Heading1"/>
      </w:pPr>
      <w:r>
        <w:t>Training Requirements</w:t>
      </w:r>
    </w:p>
    <w:p>
      <w:r>
        <w:t>All new employees will receive initial safety orientation. Ongoing training will be provided annually or as needed for new hazards or equipment. Training records, including dates, topics, and attendees, will be maintained by the Safety Officer. Specific training per 29 CFR 1926.21(b) and WAC 296-155-100 will be documented.</w:t>
      </w:r>
    </w:p>
    <w:p>
      <w:pPr>
        <w:pStyle w:val="Heading1"/>
      </w:pPr>
      <w:r>
        <w:t>Inspection and Enforcement</w:t>
      </w:r>
    </w:p>
    <w:p>
      <w:r>
        <w:t>Job sites will undergo frequent and regular safety inspections by competent persons. Any identified deficiencies will be documented, and corrective actions will be implemented promptly. Non-compliance with safety policies will result in disciplinary action as outlined in the Violation Consequences section.</w:t>
      </w:r>
    </w:p>
    <w:p>
      <w:pPr>
        <w:pStyle w:val="Heading1"/>
      </w:pPr>
      <w:r>
        <w:t>Recordkeeping</w:t>
      </w:r>
    </w:p>
    <w:p>
      <w:r>
        <w:t>All safety-related documents, including training records, inspection reports, incident investigations, and safety meeting minutes, will be retained for a minimum of five years. The Safety Officer is responsible for maintaining these records.</w:t>
      </w:r>
    </w:p>
    <w:p>
      <w:pPr>
        <w:pStyle w:val="Heading1"/>
      </w:pPr>
      <w:r>
        <w:t>Violation Consequences</w:t>
      </w:r>
    </w:p>
    <w:p>
      <w:r>
        <w:t>Violations of safety policies will be subject to progressive disciplinary action, ranging from verbal warnings for minor infractions to termination for serious or repeated offenses. The severity of the consequence will depend on the nature and impact of the violation.</w:t>
      </w:r>
    </w:p>
    <w:p>
      <w:pPr>
        <w:pStyle w:val="Heading1"/>
      </w:pPr>
      <w:r>
        <w:t>References</w:t>
      </w:r>
    </w:p>
    <w:p>
      <w:pPr>
        <w:pStyle w:val="ListBullet"/>
      </w:pPr>
      <w:r>
        <w:t>- OSHA: 29 CFR 1926.20 General Safety</w:t>
      </w:r>
    </w:p>
    <w:p>
      <w:pPr>
        <w:pStyle w:val="ListBullet"/>
      </w:pPr>
      <w:r>
        <w:t>- OSHA: 29 CFR 1926.21(b) Safety Training and Education</w:t>
      </w:r>
    </w:p>
    <w:p>
      <w:pPr>
        <w:pStyle w:val="ListBullet"/>
      </w:pPr>
      <w:r>
        <w:t>- WISHA: WAC 296-155-100</w:t>
      </w:r>
    </w:p>
    <w:p>
      <w:pPr>
        <w:pStyle w:val="ListBullet"/>
      </w:pPr>
      <w:r>
        <w:t>- WISHA: WAC 296-155-105</w:t>
      </w:r>
    </w:p>
    <w:p>
      <w:pPr>
        <w:pStyle w:val="ListBullet"/>
      </w:pPr>
      <w:r>
        <w:t>- WISHA: WAC 296-155-110</w:t>
      </w:r>
    </w:p>
    <w:p>
      <w:pPr>
        <w:pStyle w:val="ListBullet"/>
      </w:pPr>
      <w:r>
        <w:t>- WISHA: WAC 296-155-115 Safety Bulletin Board</w:t>
      </w:r>
    </w:p>
    <w:p>
      <w:pPr>
        <w:pStyle w:val="ListBullet"/>
      </w:pPr>
      <w:r>
        <w:t>- AGC: SHIP Best Practices Handbook</w:t>
      </w:r>
    </w:p>
    <w:p>
      <w:pPr>
        <w:pStyle w:val="ListBullet"/>
      </w:pPr>
      <w:r>
        <w:t>- AGC: AGC CSEA Program Requirements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F258D95-1FC6-4EEE-8BF3-BC876DAD496D}"/>
</file>

<file path=customXml/itemProps3.xml><?xml version="1.0" encoding="utf-8"?>
<ds:datastoreItem xmlns:ds="http://schemas.openxmlformats.org/officeDocument/2006/customXml" ds:itemID="{65A61A45-1217-4A73-8512-667D7652B8EF}"/>
</file>

<file path=customXml/itemProps4.xml><?xml version="1.0" encoding="utf-8"?>
<ds:datastoreItem xmlns:ds="http://schemas.openxmlformats.org/officeDocument/2006/customXml" ds:itemID="{19DD2B45-7B55-4036-BF08-F21B1D2B5A5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