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MH CONSTRUCTION, INC.</w:t>
      </w:r>
    </w:p>
    <w:p>
      <w:pPr>
        <w:jc w:val="center"/>
      </w:pPr>
      <w:r>
        <w:rPr>
          <w:rFonts w:ascii="Arial" w:hAnsi="Arial"/>
          <w:b w:val="0"/>
          <w:sz w:val="24"/>
        </w:rPr>
        <w:t>Industrial Safety &amp; Health Program (MISH)</w:t>
      </w:r>
    </w:p>
    <w:p>
      <w:pPr>
        <w:jc w:val="center"/>
      </w:pPr>
      <w:r>
        <w:rPr>
          <w:rFonts w:ascii="Arial" w:hAnsi="Arial"/>
          <w:b w:val="0"/>
          <w:sz w:val="24"/>
        </w:rPr>
        <w:t>MISH 06 | Emergency Response</w:t>
      </w:r>
    </w:p>
    <w:p>
      <w:pPr>
        <w:jc w:val="center"/>
      </w:pPr>
      <w:r>
        <w:rPr>
          <w:rFonts w:ascii="Arial" w:hAnsi="Arial"/>
          <w:b w:val="0"/>
          <w:sz w:val="24"/>
        </w:rPr>
        <w:t>Revision 3 | Effective: 04/07/2026 | Safety Officer: Matt Ramsey</w:t>
      </w:r>
    </w:p>
    <w:p>
      <w:pPr>
        <w:pBdr>
          <w:bottom w:val="single" w:sz="6" w:space="1" w:color="auto"/>
        </w:pBdr>
      </w:pPr>
    </w:p>
    <w:p>
      <w:pPr>
        <w:pStyle w:val="Heading1"/>
      </w:pPr>
      <w:r>
        <w:rPr>
          <w:rFonts w:ascii="Arial" w:hAnsi="Arial"/>
          <w:b/>
          <w:sz w:val="24"/>
        </w:rPr>
        <w:t>REGULATORY AUTHORITY</w:t>
      </w:r>
    </w:p>
    <w:tbl>
      <w:tblPr>
        <w:tblW w:type="auto" w:w="0"/>
        <w:tblLayout w:type="autofit"/>
        <w:tblLook w:firstColumn="1" w:firstRow="1" w:lastColumn="0" w:lastRow="0" w:noHBand="0" w:noVBand="1" w:val="04A0"/>
      </w:tblPr>
      <w:tblGrid>
        <w:gridCol w:w="3000"/>
        <w:gridCol w:w="3000"/>
        <w:gridCol w:w="3000"/>
      </w:tblGrid>
      <w:tr>
        <w:tc>
          <w:tcPr>
            <w:tcW w:type="dxa" w:w="3000"/>
          </w:tcPr>
          <w:p>
            <w:r>
              <w:rPr>
                <w:rFonts w:ascii="Arial" w:hAnsi="Arial"/>
                <w:b/>
                <w:sz w:val="22"/>
              </w:rPr>
              <w:t>Authority</w:t>
            </w:r>
          </w:p>
        </w:tc>
        <w:tc>
          <w:tcPr>
            <w:tcW w:type="dxa" w:w="3000"/>
          </w:tcPr>
          <w:p>
            <w:r>
              <w:rPr>
                <w:rFonts w:ascii="Arial" w:hAnsi="Arial"/>
                <w:b/>
                <w:sz w:val="22"/>
              </w:rPr>
              <w:t>Citation</w:t>
            </w:r>
          </w:p>
        </w:tc>
        <w:tc>
          <w:tcPr>
            <w:tcW w:type="dxa" w:w="3000"/>
          </w:tcPr>
          <w:p>
            <w:r>
              <w:rPr>
                <w:rFonts w:ascii="Arial" w:hAnsi="Arial"/>
                <w:b/>
                <w:sz w:val="22"/>
              </w:rPr>
              <w:t>Title/Description</w:t>
            </w:r>
          </w:p>
        </w:tc>
      </w:tr>
      <w:tr>
        <w:tc>
          <w:tcPr>
            <w:tcW w:type="dxa" w:w="3000"/>
          </w:tcPr>
          <w:p>
            <w:r>
              <w:rPr>
                <w:rFonts w:ascii="Arial" w:hAnsi="Arial"/>
                <w:b w:val="0"/>
                <w:sz w:val="22"/>
              </w:rPr>
              <w:t>OSHA</w:t>
            </w:r>
          </w:p>
        </w:tc>
        <w:tc>
          <w:tcPr>
            <w:tcW w:type="dxa" w:w="3000"/>
          </w:tcPr>
          <w:p>
            <w:r>
              <w:rPr>
                <w:rFonts w:ascii="Arial" w:hAnsi="Arial"/>
                <w:b w:val="0"/>
                <w:sz w:val="22"/>
              </w:rPr>
              <w:t>29 CFR 1926.35</w:t>
            </w:r>
          </w:p>
        </w:tc>
        <w:tc>
          <w:tcPr>
            <w:tcW w:type="dxa" w:w="3000"/>
          </w:tcPr>
          <w:p>
            <w:r>
              <w:rPr>
                <w:rFonts w:ascii="Arial" w:hAnsi="Arial"/>
                <w:b w:val="0"/>
                <w:sz w:val="22"/>
              </w:rPr>
              <w:t>Employee Emergency Action Plans</w:t>
            </w:r>
          </w:p>
        </w:tc>
      </w:tr>
      <w:tr>
        <w:tc>
          <w:tcPr>
            <w:tcW w:type="dxa" w:w="3000"/>
          </w:tcPr>
          <w:p>
            <w:r>
              <w:rPr>
                <w:rFonts w:ascii="Arial" w:hAnsi="Arial"/>
                <w:b w:val="0"/>
                <w:sz w:val="22"/>
              </w:rPr>
              <w:t>OSHA</w:t>
            </w:r>
          </w:p>
        </w:tc>
        <w:tc>
          <w:tcPr>
            <w:tcW w:type="dxa" w:w="3000"/>
          </w:tcPr>
          <w:p>
            <w:r>
              <w:rPr>
                <w:rFonts w:ascii="Arial" w:hAnsi="Arial"/>
                <w:b w:val="0"/>
                <w:sz w:val="22"/>
              </w:rPr>
              <w:t>29 CFR 1910.38</w:t>
            </w:r>
          </w:p>
        </w:tc>
        <w:tc>
          <w:tcPr>
            <w:tcW w:type="dxa" w:w="3000"/>
          </w:tcPr>
          <w:p>
            <w:r>
              <w:rPr>
                <w:rFonts w:ascii="Arial" w:hAnsi="Arial"/>
                <w:b w:val="0"/>
                <w:sz w:val="22"/>
              </w:rPr>
              <w:t>Emergency Action Plans</w:t>
            </w:r>
          </w:p>
        </w:tc>
      </w:tr>
      <w:tr>
        <w:tc>
          <w:tcPr>
            <w:tcW w:type="dxa" w:w="3000"/>
          </w:tcPr>
          <w:p>
            <w:r>
              <w:rPr>
                <w:rFonts w:ascii="Arial" w:hAnsi="Arial"/>
                <w:b w:val="0"/>
                <w:sz w:val="22"/>
              </w:rPr>
              <w:t>WISHA</w:t>
            </w:r>
          </w:p>
        </w:tc>
        <w:tc>
          <w:tcPr>
            <w:tcW w:type="dxa" w:w="3000"/>
          </w:tcPr>
          <w:p>
            <w:r>
              <w:rPr>
                <w:rFonts w:ascii="Arial" w:hAnsi="Arial"/>
                <w:b w:val="0"/>
                <w:sz w:val="22"/>
              </w:rPr>
              <w:t>WAC 296-155-140</w:t>
            </w:r>
          </w:p>
        </w:tc>
        <w:tc>
          <w:tcPr>
            <w:tcW w:type="dxa" w:w="3000"/>
          </w:tcPr>
          <w:p>
            <w:r>
              <w:rPr>
                <w:rFonts w:ascii="Arial" w:hAnsi="Arial"/>
                <w:b w:val="0"/>
                <w:sz w:val="22"/>
              </w:rPr>
              <w:t>Sanitation Emergency provisions</w:t>
            </w:r>
          </w:p>
        </w:tc>
      </w:tr>
      <w:tr>
        <w:tc>
          <w:tcPr>
            <w:tcW w:type="dxa" w:w="3000"/>
          </w:tcPr>
          <w:p>
            <w:r>
              <w:rPr>
                <w:rFonts w:ascii="Arial" w:hAnsi="Arial"/>
                <w:b w:val="0"/>
                <w:sz w:val="22"/>
              </w:rPr>
              <w:t>WISHA</w:t>
            </w:r>
          </w:p>
        </w:tc>
        <w:tc>
          <w:tcPr>
            <w:tcW w:type="dxa" w:w="3000"/>
          </w:tcPr>
          <w:p>
            <w:r>
              <w:rPr>
                <w:rFonts w:ascii="Arial" w:hAnsi="Arial"/>
                <w:b w:val="0"/>
                <w:sz w:val="22"/>
              </w:rPr>
              <w:t>WAC 296-800-310</w:t>
            </w:r>
          </w:p>
        </w:tc>
        <w:tc>
          <w:tcPr>
            <w:tcW w:type="dxa" w:w="3000"/>
          </w:tcPr>
          <w:p>
            <w:r>
              <w:rPr>
                <w:rFonts w:ascii="Arial" w:hAnsi="Arial"/>
                <w:b w:val="0"/>
                <w:sz w:val="22"/>
              </w:rPr>
              <w:t>Emergency Procedures</w:t>
            </w:r>
          </w:p>
        </w:tc>
      </w:tr>
      <w:tr>
        <w:tc>
          <w:tcPr>
            <w:tcW w:type="dxa" w:w="3000"/>
          </w:tcPr>
          <w:p>
            <w:r>
              <w:rPr>
                <w:rFonts w:ascii="Arial" w:hAnsi="Arial"/>
                <w:b w:val="0"/>
                <w:sz w:val="22"/>
              </w:rPr>
              <w:t>WISHA</w:t>
            </w:r>
          </w:p>
        </w:tc>
        <w:tc>
          <w:tcPr>
            <w:tcW w:type="dxa" w:w="3000"/>
          </w:tcPr>
          <w:p>
            <w:r>
              <w:rPr>
                <w:rFonts w:ascii="Arial" w:hAnsi="Arial"/>
                <w:b w:val="0"/>
                <w:sz w:val="22"/>
              </w:rPr>
              <w:t>WAC 296-155-120</w:t>
            </w:r>
          </w:p>
        </w:tc>
        <w:tc>
          <w:tcPr>
            <w:tcW w:type="dxa" w:w="3000"/>
          </w:tcPr>
          <w:p>
            <w:r>
              <w:rPr>
                <w:rFonts w:ascii="Arial" w:hAnsi="Arial"/>
                <w:b w:val="0"/>
                <w:sz w:val="22"/>
              </w:rPr>
              <w:t>First-Aid Training</w:t>
            </w:r>
          </w:p>
        </w:tc>
      </w:tr>
      <w:tr>
        <w:tc>
          <w:tcPr>
            <w:tcW w:type="dxa" w:w="3000"/>
          </w:tcPr>
          <w:p>
            <w:r>
              <w:rPr>
                <w:rFonts w:ascii="Arial" w:hAnsi="Arial"/>
                <w:b w:val="0"/>
                <w:sz w:val="22"/>
              </w:rPr>
              <w:t>AGC</w:t>
            </w:r>
          </w:p>
        </w:tc>
        <w:tc>
          <w:tcPr>
            <w:tcW w:type="dxa" w:w="3000"/>
          </w:tcPr>
          <w:p>
            <w:r>
              <w:rPr>
                <w:rFonts w:ascii="Arial" w:hAnsi="Arial"/>
                <w:b w:val="0"/>
                <w:sz w:val="22"/>
              </w:rPr>
              <w:t>Ch. 4</w:t>
            </w:r>
          </w:p>
        </w:tc>
        <w:tc>
          <w:tcPr>
            <w:tcW w:type="dxa" w:w="3000"/>
          </w:tcPr>
          <w:p>
            <w:r>
              <w:rPr>
                <w:rFonts w:ascii="Arial" w:hAnsi="Arial"/>
                <w:b w:val="0"/>
                <w:sz w:val="22"/>
              </w:rPr>
              <w:t>Safety and Health Manual Ch. 4 Emergency Preparedness</w:t>
            </w:r>
          </w:p>
        </w:tc>
      </w:tr>
    </w:tbl>
    <w:p>
      <w:pPr>
        <w:pStyle w:val="Heading1"/>
      </w:pPr>
      <w:r>
        <w:rPr>
          <w:rFonts w:ascii="Arial" w:hAnsi="Arial"/>
          <w:b/>
          <w:sz w:val="24"/>
        </w:rPr>
        <w:t>PURPOSE</w:t>
      </w:r>
    </w:p>
    <w:p>
      <w:pPr>
        <w:jc w:val="left"/>
      </w:pPr>
      <w:r>
        <w:rPr>
          <w:rFonts w:ascii="Arial" w:hAnsi="Arial"/>
          <w:b w:val="0"/>
          <w:sz w:val="22"/>
        </w:rPr>
        <w:t>This policy establishes clear guidelines for emergency response procedures, ensuring the safety and well-being of all personnel on MH Construction job sites. It aims to mitigate risks associated with unforeseen emergencies and protect against potential injuries or property damage.</w:t>
      </w:r>
    </w:p>
    <w:p>
      <w:pPr>
        <w:pStyle w:val="Heading1"/>
      </w:pPr>
      <w:r>
        <w:rPr>
          <w:rFonts w:ascii="Arial" w:hAnsi="Arial"/>
          <w:b/>
          <w:sz w:val="24"/>
        </w:rPr>
        <w:t>SCOPE</w:t>
      </w:r>
    </w:p>
    <w:p>
      <w:pPr>
        <w:jc w:val="left"/>
      </w:pPr>
      <w:r>
        <w:rPr>
          <w:rFonts w:ascii="Arial" w:hAnsi="Arial"/>
          <w:b w:val="0"/>
          <w:sz w:val="22"/>
        </w:rPr>
        <w:t>This Emergency Response policy applies to all MH Construction, Inc. employees, subcontractors, and visitors present on any MH Construction job site. Adherence to these procedures is mandatory to maintain a safe working environment.</w:t>
      </w:r>
    </w:p>
    <w:p>
      <w:pPr>
        <w:pStyle w:val="Heading1"/>
      </w:pPr>
      <w:r>
        <w:rPr>
          <w:rFonts w:ascii="Arial" w:hAnsi="Arial"/>
          <w:b/>
          <w:sz w:val="24"/>
        </w:rPr>
        <w:t>DEFINITIONS</w:t>
      </w:r>
    </w:p>
    <w:tbl>
      <w:tblPr>
        <w:tblW w:type="auto" w:w="0"/>
        <w:tblLayout w:type="autofit"/>
        <w:tblLook w:firstColumn="1" w:firstRow="1" w:lastColumn="0" w:lastRow="0" w:noHBand="0" w:noVBand="1" w:val="04A0"/>
      </w:tblPr>
      <w:tblGrid>
        <w:gridCol w:w="4500"/>
        <w:gridCol w:w="4500"/>
      </w:tblGrid>
      <w:tr>
        <w:tc>
          <w:tcPr>
            <w:tcW w:type="dxa" w:w="4500"/>
          </w:tcPr>
          <w:p>
            <w:r>
              <w:rPr>
                <w:rFonts w:ascii="Arial" w:hAnsi="Arial"/>
                <w:b/>
                <w:sz w:val="22"/>
              </w:rPr>
              <w:t>Term</w:t>
            </w:r>
          </w:p>
        </w:tc>
        <w:tc>
          <w:tcPr>
            <w:tcW w:type="dxa" w:w="4500"/>
          </w:tcPr>
          <w:p>
            <w:r>
              <w:rPr>
                <w:rFonts w:ascii="Arial" w:hAnsi="Arial"/>
                <w:b/>
                <w:sz w:val="22"/>
              </w:rPr>
              <w:t>Definition</w:t>
            </w:r>
          </w:p>
        </w:tc>
      </w:tr>
      <w:tr>
        <w:tc>
          <w:tcPr>
            <w:tcW w:type="dxa" w:w="4500"/>
          </w:tcPr>
          <w:p>
            <w:r>
              <w:rPr>
                <w:rFonts w:ascii="Arial" w:hAnsi="Arial"/>
                <w:b w:val="0"/>
                <w:sz w:val="22"/>
              </w:rPr>
              <w:t>Emergency Action Plan (EAP)</w:t>
            </w:r>
          </w:p>
        </w:tc>
        <w:tc>
          <w:tcPr>
            <w:tcW w:type="dxa" w:w="4500"/>
          </w:tcPr>
          <w:p>
            <w:r>
              <w:rPr>
                <w:rFonts w:ascii="Arial" w:hAnsi="Arial"/>
                <w:b w:val="0"/>
                <w:sz w:val="22"/>
              </w:rPr>
              <w:t>A written plan required by OSHA outlining procedures for employees to follow in emergency situations.</w:t>
            </w:r>
          </w:p>
        </w:tc>
      </w:tr>
      <w:tr>
        <w:tc>
          <w:tcPr>
            <w:tcW w:type="dxa" w:w="4500"/>
          </w:tcPr>
          <w:p>
            <w:r>
              <w:rPr>
                <w:rFonts w:ascii="Arial" w:hAnsi="Arial"/>
                <w:b w:val="0"/>
                <w:sz w:val="22"/>
              </w:rPr>
              <w:t>First Aid</w:t>
            </w:r>
          </w:p>
        </w:tc>
        <w:tc>
          <w:tcPr>
            <w:tcW w:type="dxa" w:w="4500"/>
          </w:tcPr>
          <w:p>
            <w:r>
              <w:rPr>
                <w:rFonts w:ascii="Arial" w:hAnsi="Arial"/>
                <w:b w:val="0"/>
                <w:sz w:val="22"/>
              </w:rPr>
              <w:t>Immediate care given to an injured or ill person to prevent further injury or to preserve life.</w:t>
            </w:r>
          </w:p>
        </w:tc>
      </w:tr>
      <w:tr>
        <w:tc>
          <w:tcPr>
            <w:tcW w:type="dxa" w:w="4500"/>
          </w:tcPr>
          <w:p>
            <w:r>
              <w:rPr>
                <w:rFonts w:ascii="Arial" w:hAnsi="Arial"/>
                <w:b w:val="0"/>
                <w:sz w:val="22"/>
              </w:rPr>
              <w:t>Evacuation</w:t>
            </w:r>
          </w:p>
        </w:tc>
        <w:tc>
          <w:tcPr>
            <w:tcW w:type="dxa" w:w="4500"/>
          </w:tcPr>
          <w:p>
            <w:r>
              <w:rPr>
                <w:rFonts w:ascii="Arial" w:hAnsi="Arial"/>
                <w:b w:val="0"/>
                <w:sz w:val="22"/>
              </w:rPr>
              <w:t>The organized, rapid, and safe movement of people from an area of danger to a safe location.</w:t>
            </w:r>
          </w:p>
        </w:tc>
      </w:tr>
      <w:tr>
        <w:tc>
          <w:tcPr>
            <w:tcW w:type="dxa" w:w="4500"/>
          </w:tcPr>
          <w:p>
            <w:r>
              <w:rPr>
                <w:rFonts w:ascii="Arial" w:hAnsi="Arial"/>
                <w:b w:val="0"/>
                <w:sz w:val="22"/>
              </w:rPr>
              <w:t>Assembly Point</w:t>
            </w:r>
          </w:p>
        </w:tc>
        <w:tc>
          <w:tcPr>
            <w:tcW w:type="dxa" w:w="4500"/>
          </w:tcPr>
          <w:p>
            <w:r>
              <w:rPr>
                <w:rFonts w:ascii="Arial" w:hAnsi="Arial"/>
                <w:b w:val="0"/>
                <w:sz w:val="22"/>
              </w:rPr>
              <w:t>A designated safe location where all personnel are to gather after an evacuation.</w:t>
            </w:r>
          </w:p>
        </w:tc>
      </w:tr>
      <w:tr>
        <w:tc>
          <w:tcPr>
            <w:tcW w:type="dxa" w:w="4500"/>
          </w:tcPr>
          <w:p>
            <w:r>
              <w:rPr>
                <w:rFonts w:ascii="Arial" w:hAnsi="Arial"/>
                <w:b w:val="0"/>
                <w:sz w:val="22"/>
              </w:rPr>
              <w:t>Incident Commander</w:t>
            </w:r>
          </w:p>
        </w:tc>
        <w:tc>
          <w:tcPr>
            <w:tcW w:type="dxa" w:w="4500"/>
          </w:tcPr>
          <w:p>
            <w:r>
              <w:rPr>
                <w:rFonts w:ascii="Arial" w:hAnsi="Arial"/>
                <w:b w:val="0"/>
                <w:sz w:val="22"/>
              </w:rPr>
              <w:t>The individual responsible for managing all incident operations at the emergency scene.</w:t>
            </w:r>
          </w:p>
        </w:tc>
      </w:tr>
    </w:tbl>
    <w:p>
      <w:pPr>
        <w:pStyle w:val="Heading1"/>
      </w:pPr>
      <w:r>
        <w:rPr>
          <w:rFonts w:ascii="Arial" w:hAnsi="Arial"/>
          <w:b/>
          <w:sz w:val="24"/>
        </w:rPr>
        <w:t>RESPONSIBILITIES</w:t>
      </w:r>
    </w:p>
    <w:p>
      <w:pPr>
        <w:pStyle w:val="ListBullet"/>
      </w:pPr>
      <w:r>
        <w:rPr>
          <w:rFonts w:ascii="Arial" w:hAnsi="Arial"/>
          <w:b w:val="0"/>
          <w:sz w:val="22"/>
        </w:rPr>
        <w:t>Company/Management Responsibilities:</w:t>
      </w:r>
    </w:p>
    <w:p>
      <w:pPr>
        <w:pStyle w:val="ListBullet2"/>
      </w:pPr>
      <w:r>
        <w:rPr>
          <w:rFonts w:ascii="Arial" w:hAnsi="Arial"/>
          <w:b w:val="0"/>
          <w:sz w:val="22"/>
        </w:rPr>
        <w:t>Develop, implement, and maintain a comprehensive Emergency Action Plan (EAP) for each project. (Per 29 CFR 1910.38)</w:t>
      </w:r>
    </w:p>
    <w:p>
      <w:pPr>
        <w:pStyle w:val="ListBullet2"/>
      </w:pPr>
      <w:r>
        <w:rPr>
          <w:rFonts w:ascii="Arial" w:hAnsi="Arial"/>
          <w:b w:val="0"/>
          <w:sz w:val="22"/>
        </w:rPr>
        <w:t>Ensure adequate resources, including first-aid supplies and emergency equipment, are available on site.</w:t>
      </w:r>
    </w:p>
    <w:p>
      <w:pPr>
        <w:pStyle w:val="ListBullet2"/>
      </w:pPr>
      <w:r>
        <w:rPr>
          <w:rFonts w:ascii="Arial" w:hAnsi="Arial"/>
          <w:b w:val="0"/>
          <w:sz w:val="22"/>
        </w:rPr>
        <w:t>Provide training and information to all employees regarding emergency procedures.</w:t>
      </w:r>
    </w:p>
    <w:p>
      <w:pPr>
        <w:pStyle w:val="ListBullet2"/>
      </w:pPr>
      <w:r>
        <w:rPr>
          <w:rFonts w:ascii="Arial" w:hAnsi="Arial"/>
          <w:b w:val="0"/>
          <w:sz w:val="22"/>
        </w:rPr>
        <w:t>Conduct regular drills and exercises to test the effectiveness of emergency plans.</w:t>
      </w:r>
    </w:p>
    <w:p>
      <w:pPr>
        <w:pStyle w:val="ListBullet"/>
      </w:pPr>
      <w:r>
        <w:rPr>
          <w:rFonts w:ascii="Arial" w:hAnsi="Arial"/>
          <w:b w:val="0"/>
          <w:sz w:val="22"/>
        </w:rPr>
        <w:t>Supervisor/Foreman Responsibilities:</w:t>
      </w:r>
    </w:p>
    <w:p>
      <w:pPr>
        <w:pStyle w:val="ListBullet2"/>
      </w:pPr>
      <w:r>
        <w:rPr>
          <w:rFonts w:ascii="Arial" w:hAnsi="Arial"/>
          <w:b w:val="0"/>
          <w:sz w:val="22"/>
        </w:rPr>
        <w:t>Ensure all personnel under their supervision are aware of and understand the project-specific EAP.</w:t>
      </w:r>
    </w:p>
    <w:p>
      <w:pPr>
        <w:pStyle w:val="ListBullet2"/>
      </w:pPr>
      <w:r>
        <w:rPr>
          <w:rFonts w:ascii="Arial" w:hAnsi="Arial"/>
          <w:b w:val="0"/>
          <w:sz w:val="22"/>
        </w:rPr>
        <w:t>Designate and train employees to assist in safe and orderly emergency evacuation. (Per 29 CFR 1926.35)</w:t>
      </w:r>
    </w:p>
    <w:p>
      <w:pPr>
        <w:pStyle w:val="ListBullet2"/>
      </w:pPr>
      <w:r>
        <w:rPr>
          <w:rFonts w:ascii="Arial" w:hAnsi="Arial"/>
          <w:b w:val="0"/>
          <w:sz w:val="22"/>
        </w:rPr>
        <w:t>Verify that first-aid trained personnel are available on site as required. (Per WAC 296-155-120)</w:t>
      </w:r>
    </w:p>
    <w:p>
      <w:pPr>
        <w:pStyle w:val="ListBullet2"/>
      </w:pPr>
      <w:r>
        <w:rPr>
          <w:rFonts w:ascii="Arial" w:hAnsi="Arial"/>
          <w:b w:val="0"/>
          <w:sz w:val="22"/>
        </w:rPr>
        <w:t>Lead and account for all personnel during emergency evacuations.</w:t>
      </w:r>
    </w:p>
    <w:p>
      <w:pPr>
        <w:pStyle w:val="ListBullet"/>
      </w:pPr>
      <w:r>
        <w:rPr>
          <w:rFonts w:ascii="Arial" w:hAnsi="Arial"/>
          <w:b w:val="0"/>
          <w:sz w:val="22"/>
        </w:rPr>
        <w:t>Employee Responsibilities:</w:t>
      </w:r>
    </w:p>
    <w:p>
      <w:pPr>
        <w:pStyle w:val="ListBullet2"/>
      </w:pPr>
      <w:r>
        <w:rPr>
          <w:rFonts w:ascii="Arial" w:hAnsi="Arial"/>
          <w:b w:val="0"/>
          <w:sz w:val="22"/>
        </w:rPr>
        <w:t>Familiarize themselves with the project-specific EAP and emergency procedures.</w:t>
      </w:r>
    </w:p>
    <w:p>
      <w:pPr>
        <w:pStyle w:val="ListBullet2"/>
      </w:pPr>
      <w:r>
        <w:rPr>
          <w:rFonts w:ascii="Arial" w:hAnsi="Arial"/>
          <w:b w:val="0"/>
          <w:sz w:val="22"/>
        </w:rPr>
        <w:t>Know the location of emergency exits, assembly points, and first-aid stations.</w:t>
      </w:r>
    </w:p>
    <w:p>
      <w:pPr>
        <w:pStyle w:val="ListBullet2"/>
      </w:pPr>
      <w:r>
        <w:rPr>
          <w:rFonts w:ascii="Arial" w:hAnsi="Arial"/>
          <w:b w:val="0"/>
          <w:sz w:val="22"/>
        </w:rPr>
        <w:t>Report any potential emergency hazards or unsafe conditions immediately.</w:t>
      </w:r>
    </w:p>
    <w:p>
      <w:pPr>
        <w:pStyle w:val="ListBullet2"/>
      </w:pPr>
      <w:r>
        <w:rPr>
          <w:rFonts w:ascii="Arial" w:hAnsi="Arial"/>
          <w:b w:val="0"/>
          <w:sz w:val="22"/>
        </w:rPr>
        <w:t>Follow all instructions from supervisors and emergency personnel during an incident.</w:t>
      </w:r>
    </w:p>
    <w:p>
      <w:pPr>
        <w:pStyle w:val="ListBullet"/>
      </w:pPr>
      <w:r>
        <w:rPr>
          <w:rFonts w:ascii="Arial" w:hAnsi="Arial"/>
          <w:b w:val="0"/>
          <w:sz w:val="22"/>
        </w:rPr>
        <w:t>Subcontractor Responsibilities:</w:t>
      </w:r>
    </w:p>
    <w:p>
      <w:pPr>
        <w:pStyle w:val="ListBullet2"/>
      </w:pPr>
      <w:r>
        <w:rPr>
          <w:rFonts w:ascii="Arial" w:hAnsi="Arial"/>
          <w:b w:val="0"/>
          <w:sz w:val="22"/>
        </w:rPr>
        <w:t>Develop and implement their own emergency procedures that align with MH Construction's EAP.</w:t>
      </w:r>
    </w:p>
    <w:p>
      <w:pPr>
        <w:pStyle w:val="ListBullet2"/>
      </w:pPr>
      <w:r>
        <w:rPr>
          <w:rFonts w:ascii="Arial" w:hAnsi="Arial"/>
          <w:b w:val="0"/>
          <w:sz w:val="22"/>
        </w:rPr>
        <w:t>Ensure their employees are trained in and adhere to all emergency response protocols.</w:t>
      </w:r>
    </w:p>
    <w:p>
      <w:pPr>
        <w:pStyle w:val="ListBullet2"/>
      </w:pPr>
      <w:r>
        <w:rPr>
          <w:rFonts w:ascii="Arial" w:hAnsi="Arial"/>
          <w:b w:val="0"/>
          <w:sz w:val="22"/>
        </w:rPr>
        <w:t>Coordinate emergency response efforts with MH Construction site management.</w:t>
      </w:r>
    </w:p>
    <w:p>
      <w:pPr>
        <w:pStyle w:val="Heading1"/>
      </w:pPr>
      <w:r>
        <w:rPr>
          <w:rFonts w:ascii="Arial" w:hAnsi="Arial"/>
          <w:b/>
          <w:sz w:val="24"/>
        </w:rPr>
        <w:t>PROCEDURES / REQUIREMENTS</w:t>
      </w:r>
    </w:p>
    <w:p>
      <w:pPr>
        <w:pStyle w:val="ListNumber"/>
      </w:pPr>
      <w:r>
        <w:rPr>
          <w:rFonts w:ascii="Arial" w:hAnsi="Arial"/>
          <w:b w:val="0"/>
          <w:sz w:val="22"/>
        </w:rPr>
        <w:t>7.1 Emergency Action Plan (EAP) Development:</w:t>
      </w:r>
    </w:p>
    <w:p>
      <w:pPr>
        <w:pStyle w:val="ListNumber2"/>
      </w:pPr>
      <w:r>
        <w:rPr>
          <w:rFonts w:ascii="Arial" w:hAnsi="Arial"/>
          <w:b w:val="0"/>
          <w:sz w:val="22"/>
        </w:rPr>
        <w:t>A written EAP will be developed for each project, specific to the site's hazards and layout. This plan will include procedures for reporting emergencies, evacuation, shutdown operations, and rescue/medical duties. (Per 29 CFR 1926.35, 29 CFR 1910.38)</w:t>
      </w:r>
    </w:p>
    <w:p>
      <w:pPr>
        <w:pStyle w:val="ListNumber"/>
      </w:pPr>
      <w:r>
        <w:rPr>
          <w:rFonts w:ascii="Arial" w:hAnsi="Arial"/>
          <w:b w:val="0"/>
          <w:sz w:val="22"/>
        </w:rPr>
        <w:t>7.2 Evacuation Procedures:</w:t>
      </w:r>
    </w:p>
    <w:p>
      <w:pPr>
        <w:pStyle w:val="ListNumber2"/>
      </w:pPr>
      <w:r>
        <w:rPr>
          <w:rFonts w:ascii="Arial" w:hAnsi="Arial"/>
          <w:b w:val="0"/>
          <w:sz w:val="22"/>
        </w:rPr>
        <w:t>Upon activation of an alarm or notification of an emergency, all personnel must immediately evacuate the affected area and proceed to the designated assembly point. Supervisors will ensure a headcount is taken at the assembly point. (Per 29 CFR 1926.35)</w:t>
      </w:r>
    </w:p>
    <w:p>
      <w:pPr>
        <w:pStyle w:val="ListNumber"/>
      </w:pPr>
      <w:r>
        <w:rPr>
          <w:rFonts w:ascii="Arial" w:hAnsi="Arial"/>
          <w:b w:val="0"/>
          <w:sz w:val="22"/>
        </w:rPr>
        <w:t>7.3 First Aid and Medical Attention:</w:t>
      </w:r>
    </w:p>
    <w:p>
      <w:pPr>
        <w:pStyle w:val="ListNumber2"/>
      </w:pPr>
      <w:r>
        <w:rPr>
          <w:rFonts w:ascii="Arial" w:hAnsi="Arial"/>
          <w:b w:val="0"/>
          <w:sz w:val="22"/>
        </w:rPr>
        <w:t>Adequate first-aid supplies will be readily available on all job sites. Personnel trained in first aid and CPR will be identified and accessible. In case of serious injury, emergency medical services (911) will be contacted immediately. (Per WAC 296-155-120)</w:t>
      </w:r>
    </w:p>
    <w:p>
      <w:pPr>
        <w:pStyle w:val="ListNumber"/>
      </w:pPr>
      <w:r>
        <w:rPr>
          <w:rFonts w:ascii="Arial" w:hAnsi="Arial"/>
          <w:b w:val="0"/>
          <w:sz w:val="22"/>
        </w:rPr>
        <w:t>7.4 Fire Prevention and Response:</w:t>
      </w:r>
    </w:p>
    <w:p>
      <w:pPr>
        <w:pStyle w:val="ListNumber2"/>
      </w:pPr>
      <w:r>
        <w:rPr>
          <w:rFonts w:ascii="Arial" w:hAnsi="Arial"/>
          <w:b w:val="0"/>
          <w:sz w:val="22"/>
        </w:rPr>
        <w:t>Fire extinguishers will be strategically located and regularly inspected. Employees will be trained on the proper use of fire extinguishers and evacuation routes in case of fire. (Per WAC 296-800-310)</w:t>
      </w:r>
    </w:p>
    <w:p>
      <w:pPr>
        <w:pStyle w:val="ListNumber"/>
      </w:pPr>
      <w:r>
        <w:rPr>
          <w:rFonts w:ascii="Arial" w:hAnsi="Arial"/>
          <w:b w:val="0"/>
          <w:sz w:val="22"/>
        </w:rPr>
        <w:t>7.5 Hazardous Material Spills:</w:t>
      </w:r>
    </w:p>
    <w:p>
      <w:pPr>
        <w:pStyle w:val="ListNumber2"/>
      </w:pPr>
      <w:r>
        <w:rPr>
          <w:rFonts w:ascii="Arial" w:hAnsi="Arial"/>
          <w:b w:val="0"/>
          <w:sz w:val="22"/>
        </w:rPr>
        <w:t>Procedures for handling and containing hazardous material spills will be included in the EAP. Only trained personnel with appropriate PPE will attempt to contain spills. Emergency services will be notified for significant spills.</w:t>
      </w:r>
    </w:p>
    <w:p>
      <w:pPr>
        <w:pStyle w:val="ListNumber"/>
      </w:pPr>
      <w:r>
        <w:rPr>
          <w:rFonts w:ascii="Arial" w:hAnsi="Arial"/>
          <w:b w:val="0"/>
          <w:sz w:val="22"/>
        </w:rPr>
        <w:t>7.6 Communication During Emergencies:</w:t>
      </w:r>
    </w:p>
    <w:p>
      <w:pPr>
        <w:pStyle w:val="ListNumber2"/>
      </w:pPr>
      <w:r>
        <w:rPr>
          <w:rFonts w:ascii="Arial" w:hAnsi="Arial"/>
          <w:b w:val="0"/>
          <w:sz w:val="22"/>
        </w:rPr>
        <w:t>A clear communication plan will be established to inform all personnel of emergency status and instructions. This may include alarms, two-way radios, or designated runners. (Per 29 CFR 1910.38)</w:t>
      </w:r>
    </w:p>
    <w:p>
      <w:pPr>
        <w:pStyle w:val="ListNumber"/>
      </w:pPr>
      <w:r>
        <w:rPr>
          <w:rFonts w:ascii="Arial" w:hAnsi="Arial"/>
          <w:b w:val="0"/>
          <w:sz w:val="22"/>
        </w:rPr>
        <w:t>7.7 Emergency Provisions for Sanitation:</w:t>
      </w:r>
    </w:p>
    <w:p>
      <w:pPr>
        <w:pStyle w:val="ListNumber2"/>
      </w:pPr>
      <w:r>
        <w:rPr>
          <w:rFonts w:ascii="Arial" w:hAnsi="Arial"/>
          <w:b w:val="0"/>
          <w:sz w:val="22"/>
        </w:rPr>
        <w:t>In the event of an emergency that disrupts normal sanitation facilities, alternative provisions will be made to ensure employee health and hygiene. (Per WAC 296-155-140)</w:t>
      </w:r>
    </w:p>
    <w:p>
      <w:pPr>
        <w:pStyle w:val="ListNumber"/>
      </w:pPr>
      <w:r>
        <w:rPr>
          <w:rFonts w:ascii="Arial" w:hAnsi="Arial"/>
          <w:b w:val="0"/>
          <w:sz w:val="22"/>
        </w:rPr>
        <w:t>7.8 Shelter-in-Place Procedures:</w:t>
      </w:r>
    </w:p>
    <w:p>
      <w:pPr>
        <w:pStyle w:val="ListNumber2"/>
      </w:pPr>
      <w:r>
        <w:rPr>
          <w:rFonts w:ascii="Arial" w:hAnsi="Arial"/>
          <w:b w:val="0"/>
          <w:sz w:val="22"/>
        </w:rPr>
        <w:t>In situations where evacuation is not the safest option (e.g., chemical release outside the site), shelter-in-place procedures will be implemented. Designated safe areas will be identified, and personnel will be instructed to seal off ventilation and await further instructions.</w:t>
      </w:r>
    </w:p>
    <w:p>
      <w:pPr>
        <w:pStyle w:val="Heading1"/>
      </w:pPr>
      <w:r>
        <w:rPr>
          <w:rFonts w:ascii="Arial" w:hAnsi="Arial"/>
          <w:b/>
          <w:sz w:val="24"/>
        </w:rPr>
        <w:t>TRAINING REQUIREMENTS</w:t>
      </w:r>
    </w:p>
    <w:p>
      <w:pPr>
        <w:jc w:val="left"/>
      </w:pPr>
      <w:r>
        <w:rPr>
          <w:rFonts w:ascii="Arial" w:hAnsi="Arial"/>
          <w:b w:val="0"/>
          <w:sz w:val="22"/>
        </w:rPr>
        <w:t>All MH Construction employees will receive initial and annual refresher training on the project-specific Emergency Action Plan (EAP). Training will cover evacuation routes, assembly points, reporting procedures, and the location and use of emergency equipment. Documentation of all training will be maintained by the Safety Officer. (Per 29 CFR 1910.38, WAC 296-800-310)</w:t>
      </w:r>
    </w:p>
    <w:p>
      <w:pPr>
        <w:jc w:val="left"/>
      </w:pPr>
      <w:r>
        <w:rPr>
          <w:rFonts w:ascii="Arial" w:hAnsi="Arial"/>
          <w:b w:val="0"/>
          <w:sz w:val="22"/>
        </w:rPr>
        <w:t>Supervisors and designated personnel will receive additional training in first aid, CPR, and advanced emergency response techniques. (Per WAC 296-155-120)</w:t>
      </w:r>
    </w:p>
    <w:p>
      <w:pPr>
        <w:pStyle w:val="Heading1"/>
      </w:pPr>
      <w:r>
        <w:rPr>
          <w:rFonts w:ascii="Arial" w:hAnsi="Arial"/>
          <w:b/>
          <w:sz w:val="24"/>
        </w:rPr>
        <w:t>INSPECTION AND ENFORCEMENT</w:t>
      </w:r>
    </w:p>
    <w:p>
      <w:pPr>
        <w:jc w:val="left"/>
      </w:pPr>
      <w:r>
        <w:rPr>
          <w:rFonts w:ascii="Arial" w:hAnsi="Arial"/>
          <w:b w:val="0"/>
          <w:sz w:val="22"/>
        </w:rPr>
        <w:t>The Safety Officer and project management will conduct regular inspections to ensure compliance with all emergency response procedures and the availability of necessary equipment. Any deficiencies will be documented, and corrective actions will be implemented promptly. Emergency drills will be conducted periodically to evaluate the effectiveness of the EAP and identify areas for improvement.</w:t>
      </w:r>
    </w:p>
    <w:p>
      <w:pPr>
        <w:pStyle w:val="Heading1"/>
      </w:pPr>
      <w:r>
        <w:rPr>
          <w:rFonts w:ascii="Arial" w:hAnsi="Arial"/>
          <w:b/>
          <w:sz w:val="24"/>
        </w:rPr>
        <w:t>RECORDKEEPING</w:t>
      </w:r>
    </w:p>
    <w:p>
      <w:pPr>
        <w:jc w:val="left"/>
      </w:pPr>
      <w:r>
        <w:rPr>
          <w:rFonts w:ascii="Arial" w:hAnsi="Arial"/>
          <w:b w:val="0"/>
          <w:sz w:val="22"/>
        </w:rPr>
        <w:t>The following records will be maintained by the Safety Officer for a minimum of three years:</w:t>
      </w:r>
    </w:p>
    <w:p>
      <w:pPr>
        <w:pStyle w:val="ListBullet"/>
      </w:pPr>
      <w:r>
        <w:rPr>
          <w:rFonts w:ascii="Arial" w:hAnsi="Arial"/>
          <w:b w:val="0"/>
          <w:sz w:val="22"/>
        </w:rPr>
        <w:t>Emergency Action Plans (EAPs) for each project.</w:t>
      </w:r>
    </w:p>
    <w:p>
      <w:pPr>
        <w:pStyle w:val="ListBullet"/>
      </w:pPr>
      <w:r>
        <w:rPr>
          <w:rFonts w:ascii="Arial" w:hAnsi="Arial"/>
          <w:b w:val="0"/>
          <w:sz w:val="22"/>
        </w:rPr>
        <w:t>Records of all emergency response training, including dates, attendees, and topics covered.</w:t>
      </w:r>
    </w:p>
    <w:p>
      <w:pPr>
        <w:pStyle w:val="ListBullet"/>
      </w:pPr>
      <w:r>
        <w:rPr>
          <w:rFonts w:ascii="Arial" w:hAnsi="Arial"/>
          <w:b w:val="0"/>
          <w:sz w:val="22"/>
        </w:rPr>
        <w:t>Documentation of emergency drills, including observations and corrective actions.</w:t>
      </w:r>
    </w:p>
    <w:p>
      <w:pPr>
        <w:pStyle w:val="ListBullet"/>
      </w:pPr>
      <w:r>
        <w:rPr>
          <w:rFonts w:ascii="Arial" w:hAnsi="Arial"/>
          <w:b w:val="0"/>
          <w:sz w:val="22"/>
        </w:rPr>
        <w:t>Incident reports related to emergencies and their outcomes.</w:t>
      </w:r>
    </w:p>
    <w:p>
      <w:pPr>
        <w:pStyle w:val="Heading1"/>
      </w:pPr>
      <w:r>
        <w:rPr>
          <w:rFonts w:ascii="Arial" w:hAnsi="Arial"/>
          <w:b/>
          <w:sz w:val="24"/>
        </w:rPr>
        <w:t>VIOLATION CONSEQUENCES</w:t>
      </w:r>
    </w:p>
    <w:p>
      <w:pPr>
        <w:jc w:val="left"/>
      </w:pPr>
      <w:r>
        <w:rPr>
          <w:rFonts w:ascii="Arial" w:hAnsi="Arial"/>
          <w:b w:val="0"/>
          <w:sz w:val="22"/>
        </w:rPr>
        <w:t>Failure to comply with the Emergency Response policy and procedures may result in disciplinary action, up to and including termination of employment or contract. The severity of the disciplinary action will depend on the nature and impact of the violation.</w:t>
      </w:r>
    </w:p>
    <w:p>
      <w:pPr>
        <w:pStyle w:val="Heading1"/>
      </w:pPr>
      <w:r>
        <w:rPr>
          <w:rFonts w:ascii="Arial" w:hAnsi="Arial"/>
          <w:b/>
          <w:sz w:val="24"/>
        </w:rPr>
        <w:t>REFERENCES</w:t>
      </w:r>
    </w:p>
    <w:p>
      <w:pPr>
        <w:pStyle w:val="ListBullet"/>
      </w:pPr>
      <w:r>
        <w:rPr>
          <w:rFonts w:ascii="Arial" w:hAnsi="Arial"/>
          <w:b w:val="0"/>
          <w:sz w:val="22"/>
        </w:rPr>
        <w:t>OSHA: 29 CFR 1926.35 Employee Emergency Action Plans</w:t>
      </w:r>
    </w:p>
    <w:p>
      <w:pPr>
        <w:pStyle w:val="ListBullet"/>
      </w:pPr>
      <w:r>
        <w:rPr>
          <w:rFonts w:ascii="Arial" w:hAnsi="Arial"/>
          <w:b w:val="0"/>
          <w:sz w:val="22"/>
        </w:rPr>
        <w:t>OSHA: 29 CFR 1910.38 Emergency Action Plans</w:t>
      </w:r>
    </w:p>
    <w:p>
      <w:pPr>
        <w:pStyle w:val="ListBullet"/>
      </w:pPr>
      <w:r>
        <w:rPr>
          <w:rFonts w:ascii="Arial" w:hAnsi="Arial"/>
          <w:b w:val="0"/>
          <w:sz w:val="22"/>
        </w:rPr>
        <w:t>WISHA: WAC 296-155-140 Sanitation Emergency provisions</w:t>
      </w:r>
    </w:p>
    <w:p>
      <w:pPr>
        <w:pStyle w:val="ListBullet"/>
      </w:pPr>
      <w:r>
        <w:rPr>
          <w:rFonts w:ascii="Arial" w:hAnsi="Arial"/>
          <w:b w:val="0"/>
          <w:sz w:val="22"/>
        </w:rPr>
        <w:t>WISHA: WAC 296-800-310 Emergency Procedures</w:t>
      </w:r>
    </w:p>
    <w:p>
      <w:pPr>
        <w:pStyle w:val="ListBullet"/>
      </w:pPr>
      <w:r>
        <w:rPr>
          <w:rFonts w:ascii="Arial" w:hAnsi="Arial"/>
          <w:b w:val="0"/>
          <w:sz w:val="22"/>
        </w:rPr>
        <w:t>WISHA: WAC 296-155-120 First-Aid Training</w:t>
      </w:r>
    </w:p>
    <w:p>
      <w:pPr>
        <w:pStyle w:val="ListBullet"/>
      </w:pPr>
      <w:r>
        <w:rPr>
          <w:rFonts w:ascii="Arial" w:hAnsi="Arial"/>
          <w:b w:val="0"/>
          <w:sz w:val="22"/>
        </w:rPr>
        <w:t>AGC: Safety and Health Manual Ch. 4 Emergency Preparedness</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E9079B5D-0FF6-42D1-ADCF-589F2CF0505C}"/>
</file>

<file path=customXml/itemProps3.xml><?xml version="1.0" encoding="utf-8"?>
<ds:datastoreItem xmlns:ds="http://schemas.openxmlformats.org/officeDocument/2006/customXml" ds:itemID="{0A1BC0CA-D1EA-4D85-891E-C12B3D7B4547}"/>
</file>

<file path=customXml/itemProps4.xml><?xml version="1.0" encoding="utf-8"?>
<ds:datastoreItem xmlns:ds="http://schemas.openxmlformats.org/officeDocument/2006/customXml" ds:itemID="{898DA33D-D725-4A17-AB0F-DCA5EFE77C0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