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r>
        <w:br/>
        <w:t>Industrial Safety &amp; Health Program (MISH)</w:t>
      </w:r>
      <w:r>
        <w:br/>
        <w:t>MISH 08 | Event Reporting of Incidents, Accidents, And Near Misses</w:t>
      </w:r>
      <w:r>
        <w:br/>
        <w:t>Revision 3 | Effective: 04/07/2026 | Safety Officer: Matt Ramsey</w:t>
      </w:r>
    </w:p>
    <w:p>
      <w:r>
        <w:br/>
      </w:r>
      <w:r>
        <w:t>────────────────────────────────────────────────────────────────────────────────</w:t>
      </w:r>
      <w:r>
        <w:br/>
      </w:r>
    </w:p>
    <w:p>
      <w:pPr>
        <w:pStyle w:val="Heading1"/>
      </w:pPr>
      <w:r>
        <w:t>Regulatory Authority</w:t>
      </w:r>
    </w:p>
    <w:tbl>
      <w:tblPr>
        <w:tblW w:type="auto" w:w="0"/>
        <w:tblLayout w:type="autofit"/>
        <w:tblLook w:firstColumn="1" w:firstRow="1" w:lastColumn="0" w:lastRow="0" w:noHBand="0" w:noVBand="1" w:val="04A0"/>
      </w:tblPr>
      <w:tblGrid>
        <w:gridCol w:w="2160"/>
        <w:gridCol w:w="3600"/>
        <w:gridCol w:w="5040"/>
      </w:tblGrid>
      <w:tr>
        <w:tc>
          <w:tcPr>
            <w:tcW w:type="dxa" w:w="3000"/>
          </w:tcPr>
          <w:p>
            <w:r>
              <w:rPr>
                <w:rFonts w:ascii="Arial" w:hAnsi="Arial"/>
                <w:b/>
                <w:sz w:val="22"/>
              </w:rPr>
              <w:t>Authority</w:t>
            </w:r>
          </w:p>
        </w:tc>
        <w:tc>
          <w:tcPr>
            <w:tcW w:type="dxa" w:w="3000"/>
          </w:tcPr>
          <w:p>
            <w:r>
              <w:rPr>
                <w:rFonts w:ascii="Arial" w:hAnsi="Arial"/>
                <w:b/>
                <w:sz w:val="22"/>
              </w:rPr>
              <w:t>Citation</w:t>
            </w:r>
          </w:p>
        </w:tc>
        <w:tc>
          <w:tcPr>
            <w:tcW w:type="dxa" w:w="3000"/>
          </w:tcPr>
          <w:p>
            <w:r>
              <w:rPr>
                <w:rFonts w:ascii="Arial" w:hAnsi="Arial"/>
                <w:b/>
                <w:sz w:val="22"/>
              </w:rPr>
              <w:t>Title/Description</w:t>
            </w:r>
          </w:p>
        </w:tc>
      </w:tr>
      <w:tr>
        <w:tc>
          <w:tcPr>
            <w:tcW w:type="dxa" w:w="2160"/>
          </w:tcPr>
          <w:p>
            <w:r>
              <w:rPr>
                <w:rFonts w:ascii="Arial" w:hAnsi="Arial"/>
                <w:sz w:val="22"/>
              </w:rPr>
              <w:t>OSHA</w:t>
            </w:r>
          </w:p>
        </w:tc>
        <w:tc>
          <w:tcPr>
            <w:tcW w:type="dxa" w:w="3600"/>
          </w:tcPr>
          <w:p>
            <w:r>
              <w:rPr>
                <w:rFonts w:ascii="Arial" w:hAnsi="Arial"/>
                <w:sz w:val="22"/>
              </w:rPr>
              <w:t>29 CFR 1904</w:t>
            </w:r>
          </w:p>
        </w:tc>
        <w:tc>
          <w:tcPr>
            <w:tcW w:type="dxa" w:w="5040"/>
          </w:tcPr>
          <w:p>
            <w:r>
              <w:rPr>
                <w:rFonts w:ascii="Arial" w:hAnsi="Arial"/>
                <w:sz w:val="22"/>
              </w:rPr>
              <w:t>Recording and Reporting Occupational Injuries and Illnesses</w:t>
            </w:r>
          </w:p>
        </w:tc>
      </w:tr>
      <w:tr>
        <w:tc>
          <w:tcPr>
            <w:tcW w:type="dxa" w:w="2160"/>
          </w:tcPr>
          <w:p>
            <w:r>
              <w:rPr>
                <w:rFonts w:ascii="Arial" w:hAnsi="Arial"/>
                <w:sz w:val="22"/>
              </w:rPr>
              <w:t>OSHA</w:t>
            </w:r>
          </w:p>
        </w:tc>
        <w:tc>
          <w:tcPr>
            <w:tcW w:type="dxa" w:w="3600"/>
          </w:tcPr>
          <w:p>
            <w:r>
              <w:rPr>
                <w:rFonts w:ascii="Arial" w:hAnsi="Arial"/>
                <w:sz w:val="22"/>
              </w:rPr>
              <w:t>29 CFR 1904.39</w:t>
            </w:r>
          </w:p>
        </w:tc>
        <w:tc>
          <w:tcPr>
            <w:tcW w:type="dxa" w:w="5040"/>
          </w:tcPr>
          <w:p>
            <w:r>
              <w:rPr>
                <w:rFonts w:ascii="Arial" w:hAnsi="Arial"/>
                <w:sz w:val="22"/>
              </w:rPr>
              <w:t>Reporting Fatalities and Hospitalizations</w:t>
            </w:r>
          </w:p>
        </w:tc>
      </w:tr>
      <w:tr>
        <w:tc>
          <w:tcPr>
            <w:tcW w:type="dxa" w:w="2160"/>
          </w:tcPr>
          <w:p>
            <w:r>
              <w:rPr>
                <w:rFonts w:ascii="Arial" w:hAnsi="Arial"/>
                <w:sz w:val="22"/>
              </w:rPr>
              <w:t>OSHA</w:t>
            </w:r>
          </w:p>
        </w:tc>
        <w:tc>
          <w:tcPr>
            <w:tcW w:type="dxa" w:w="3600"/>
          </w:tcPr>
          <w:p>
            <w:r>
              <w:rPr>
                <w:rFonts w:ascii="Arial" w:hAnsi="Arial"/>
                <w:sz w:val="22"/>
              </w:rPr>
              <w:t>29 CFR 1926.20</w:t>
            </w:r>
          </w:p>
        </w:tc>
        <w:tc>
          <w:tcPr>
            <w:tcW w:type="dxa" w:w="5040"/>
          </w:tcPr>
          <w:p>
            <w:r>
              <w:rPr>
                <w:rFonts w:ascii="Arial" w:hAnsi="Arial"/>
                <w:sz w:val="22"/>
              </w:rPr>
              <w:t>(b)(3)</w:t>
            </w:r>
          </w:p>
        </w:tc>
      </w:tr>
      <w:tr>
        <w:tc>
          <w:tcPr>
            <w:tcW w:type="dxa" w:w="2160"/>
          </w:tcPr>
          <w:p>
            <w:r>
              <w:rPr>
                <w:rFonts w:ascii="Arial" w:hAnsi="Arial"/>
                <w:sz w:val="22"/>
              </w:rPr>
              <w:t>WISHA</w:t>
            </w:r>
          </w:p>
        </w:tc>
        <w:tc>
          <w:tcPr>
            <w:tcW w:type="dxa" w:w="3600"/>
          </w:tcPr>
          <w:p>
            <w:r>
              <w:rPr>
                <w:rFonts w:ascii="Arial" w:hAnsi="Arial"/>
                <w:sz w:val="22"/>
              </w:rPr>
              <w:t>WAC 296-27 Recording and Reporting Occupational Injuries and Illnesses</w:t>
            </w:r>
          </w:p>
        </w:tc>
        <w:tc>
          <w:tcPr>
            <w:tcW w:type="dxa" w:w="5040"/>
          </w:tcPr>
          <w:p>
            <w:r>
              <w:rPr>
                <w:rFonts w:ascii="Arial" w:hAnsi="Arial"/>
                <w:sz w:val="22"/>
              </w:rPr>
            </w:r>
          </w:p>
        </w:tc>
      </w:tr>
      <w:tr>
        <w:tc>
          <w:tcPr>
            <w:tcW w:type="dxa" w:w="2160"/>
          </w:tcPr>
          <w:p>
            <w:r>
              <w:rPr>
                <w:rFonts w:ascii="Arial" w:hAnsi="Arial"/>
                <w:sz w:val="22"/>
              </w:rPr>
              <w:t>WISHA</w:t>
            </w:r>
          </w:p>
        </w:tc>
        <w:tc>
          <w:tcPr>
            <w:tcW w:type="dxa" w:w="3600"/>
          </w:tcPr>
          <w:p>
            <w:r>
              <w:rPr>
                <w:rFonts w:ascii="Arial" w:hAnsi="Arial"/>
                <w:sz w:val="22"/>
              </w:rPr>
              <w:t>WAC 296-155-110</w:t>
            </w:r>
          </w:p>
        </w:tc>
        <w:tc>
          <w:tcPr>
            <w:tcW w:type="dxa" w:w="5040"/>
          </w:tcPr>
          <w:p>
            <w:r>
              <w:rPr>
                <w:rFonts w:ascii="Arial" w:hAnsi="Arial"/>
                <w:sz w:val="22"/>
              </w:rPr>
              <w:t>(5)</w:t>
            </w:r>
          </w:p>
        </w:tc>
      </w:tr>
      <w:tr>
        <w:tc>
          <w:tcPr>
            <w:tcW w:type="dxa" w:w="2160"/>
          </w:tcPr>
          <w:p>
            <w:r>
              <w:rPr>
                <w:rFonts w:ascii="Arial" w:hAnsi="Arial"/>
                <w:sz w:val="22"/>
              </w:rPr>
              <w:t>AGC</w:t>
            </w:r>
          </w:p>
        </w:tc>
        <w:tc>
          <w:tcPr>
            <w:tcW w:type="dxa" w:w="3600"/>
          </w:tcPr>
          <w:p>
            <w:r>
              <w:rPr>
                <w:rFonts w:ascii="Arial" w:hAnsi="Arial"/>
                <w:sz w:val="22"/>
              </w:rPr>
              <w:t>Safety and Health Manual Ch. 5 Incident Reporting</w:t>
            </w:r>
          </w:p>
        </w:tc>
        <w:tc>
          <w:tcPr>
            <w:tcW w:type="dxa" w:w="5040"/>
          </w:tcPr>
          <w:p>
            <w:r>
              <w:rPr>
                <w:rFonts w:ascii="Arial" w:hAnsi="Arial"/>
                <w:sz w:val="22"/>
              </w:rPr>
            </w:r>
          </w:p>
        </w:tc>
      </w:tr>
    </w:tbl>
    <w:p>
      <w:r>
        <w:br/>
      </w:r>
    </w:p>
    <w:p>
      <w:pPr>
        <w:pStyle w:val="Heading1"/>
      </w:pPr>
      <w:r>
        <w:t>Purpose</w:t>
      </w:r>
    </w:p>
    <w:p>
      <w:r>
        <w:t>This policy establishes guidelines for the comprehensive reporting and investigation of all incidents, accidents, and near misses to ensure a safe working environment. It aims to identify root causes, implement corrective actions, and prevent recurrence, thereby protecting employees, subcontractors, and company assets from harm.</w:t>
      </w:r>
    </w:p>
    <w:p>
      <w:pPr>
        <w:pStyle w:val="Heading1"/>
      </w:pPr>
      <w:r>
        <w:t>Scope</w:t>
      </w:r>
    </w:p>
    <w:p>
      <w:r>
        <w:t>This policy applies to all MH Construction, Inc. employees, subcontractors, and visitors present on any MH Construction job site or property.</w:t>
      </w:r>
    </w:p>
    <w:p>
      <w:pPr>
        <w:pStyle w:val="Heading1"/>
      </w:pPr>
      <w:r>
        <w:t>Definitions</w:t>
      </w:r>
    </w:p>
    <w:tbl>
      <w:tblPr>
        <w:tblW w:type="auto" w:w="0"/>
        <w:tblLayout w:type="autofit"/>
        <w:tblLook w:firstColumn="1" w:firstRow="1" w:lastColumn="0" w:lastRow="0" w:noHBand="0" w:noVBand="1" w:val="04A0"/>
      </w:tblPr>
      <w:tblGrid>
        <w:gridCol w:w="2160"/>
        <w:gridCol w:w="8640"/>
      </w:tblGrid>
      <w:tr>
        <w:tc>
          <w:tcPr>
            <w:tcW w:type="dxa" w:w="4500"/>
          </w:tcPr>
          <w:p>
            <w:r>
              <w:rPr>
                <w:rFonts w:ascii="Arial" w:hAnsi="Arial"/>
                <w:b/>
                <w:sz w:val="22"/>
              </w:rPr>
              <w:t>Term</w:t>
            </w:r>
          </w:p>
        </w:tc>
        <w:tc>
          <w:tcPr>
            <w:tcW w:type="dxa" w:w="4500"/>
          </w:tcPr>
          <w:p>
            <w:r>
              <w:rPr>
                <w:rFonts w:ascii="Arial" w:hAnsi="Arial"/>
                <w:b/>
                <w:sz w:val="22"/>
              </w:rPr>
              <w:t>Definition</w:t>
            </w:r>
          </w:p>
        </w:tc>
      </w:tr>
      <w:tr>
        <w:tc>
          <w:tcPr>
            <w:tcW w:type="dxa" w:w="2160"/>
          </w:tcPr>
          <w:p>
            <w:r>
              <w:rPr>
                <w:rFonts w:ascii="Arial" w:hAnsi="Arial"/>
                <w:sz w:val="22"/>
              </w:rPr>
              <w:t>Incident</w:t>
            </w:r>
          </w:p>
        </w:tc>
        <w:tc>
          <w:tcPr>
            <w:tcW w:type="dxa" w:w="8640"/>
          </w:tcPr>
          <w:p>
            <w:r>
              <w:rPr>
                <w:rFonts w:ascii="Arial" w:hAnsi="Arial"/>
                <w:sz w:val="22"/>
              </w:rPr>
              <w:t>An unplanned event that did not result in injury, illness, or damage, but had the potential to do so.</w:t>
            </w:r>
          </w:p>
        </w:tc>
      </w:tr>
      <w:tr>
        <w:tc>
          <w:tcPr>
            <w:tcW w:type="dxa" w:w="2160"/>
          </w:tcPr>
          <w:p>
            <w:r>
              <w:rPr>
                <w:rFonts w:ascii="Arial" w:hAnsi="Arial"/>
                <w:sz w:val="22"/>
              </w:rPr>
              <w:t>Accident</w:t>
            </w:r>
          </w:p>
        </w:tc>
        <w:tc>
          <w:tcPr>
            <w:tcW w:type="dxa" w:w="8640"/>
          </w:tcPr>
          <w:p>
            <w:r>
              <w:rPr>
                <w:rFonts w:ascii="Arial" w:hAnsi="Arial"/>
                <w:sz w:val="22"/>
              </w:rPr>
              <w:t>An unplanned event that results in injury, illness, or property damage.</w:t>
            </w:r>
          </w:p>
        </w:tc>
      </w:tr>
      <w:tr>
        <w:tc>
          <w:tcPr>
            <w:tcW w:type="dxa" w:w="2160"/>
          </w:tcPr>
          <w:p>
            <w:r>
              <w:rPr>
                <w:rFonts w:ascii="Arial" w:hAnsi="Arial"/>
                <w:sz w:val="22"/>
              </w:rPr>
              <w:t>Near Miss</w:t>
            </w:r>
          </w:p>
        </w:tc>
        <w:tc>
          <w:tcPr>
            <w:tcW w:type="dxa" w:w="8640"/>
          </w:tcPr>
          <w:p>
            <w:r>
              <w:rPr>
                <w:rFonts w:ascii="Arial" w:hAnsi="Arial"/>
                <w:sz w:val="22"/>
              </w:rPr>
              <w:t>An unplanned event that did not result in injury, illness, or damage, but had the potential to do so. (Often used interchangeably with Incident)</w:t>
            </w:r>
          </w:p>
        </w:tc>
      </w:tr>
      <w:tr>
        <w:tc>
          <w:tcPr>
            <w:tcW w:type="dxa" w:w="2160"/>
          </w:tcPr>
          <w:p>
            <w:r>
              <w:rPr>
                <w:rFonts w:ascii="Arial" w:hAnsi="Arial"/>
                <w:sz w:val="22"/>
              </w:rPr>
              <w:t>First Aid Case</w:t>
            </w:r>
          </w:p>
        </w:tc>
        <w:tc>
          <w:tcPr>
            <w:tcW w:type="dxa" w:w="8640"/>
          </w:tcPr>
          <w:p>
            <w:r>
              <w:rPr>
                <w:rFonts w:ascii="Arial" w:hAnsi="Arial"/>
                <w:sz w:val="22"/>
              </w:rPr>
              <w:t>Any one-time treatment and subsequent observation of minor scratches, cuts, burns, splinters, etc., which do not ordinarily require medical care. Such treatment and observation are considered first aid even though provided by a physician or registered professional personnel.</w:t>
            </w:r>
          </w:p>
        </w:tc>
      </w:tr>
      <w:tr>
        <w:tc>
          <w:tcPr>
            <w:tcW w:type="dxa" w:w="2160"/>
          </w:tcPr>
          <w:p>
            <w:r>
              <w:rPr>
                <w:rFonts w:ascii="Arial" w:hAnsi="Arial"/>
                <w:sz w:val="22"/>
              </w:rPr>
              <w:t>Recordable Injury/Illness</w:t>
            </w:r>
          </w:p>
        </w:tc>
        <w:tc>
          <w:tcPr>
            <w:tcW w:type="dxa" w:w="8640"/>
          </w:tcPr>
          <w:p>
            <w:r>
              <w:rPr>
                <w:rFonts w:ascii="Arial" w:hAnsi="Arial"/>
                <w:sz w:val="22"/>
              </w:rPr>
              <w:t>An injury or illness that meets the OSHA criteria for recording on the OSHA 300 Log, including fatalities, lost workdays, restricted work/transfer to another job, medical treatment beyond first aid, or other diagnosed significant injuries/illnesses.</w:t>
            </w:r>
          </w:p>
        </w:tc>
      </w:tr>
    </w:tbl>
    <w:p>
      <w:r>
        <w:br/>
      </w:r>
    </w:p>
    <w:p>
      <w:pPr>
        <w:pStyle w:val="Heading1"/>
      </w:pPr>
      <w:r>
        <w:t>Responsibilities</w:t>
      </w:r>
    </w:p>
    <w:p>
      <w:pPr>
        <w:pStyle w:val="Heading2"/>
      </w:pPr>
      <w:r>
        <w:t>Company/Management Responsibilities</w:t>
      </w:r>
    </w:p>
    <w:p>
      <w:pPr>
        <w:pStyle w:val="ListBullet"/>
      </w:pPr>
      <w:r>
        <w:t>Provide a safe working environment and necessary resources for incident reporting and investigation.</w:t>
      </w:r>
    </w:p>
    <w:p>
      <w:pPr>
        <w:pStyle w:val="ListBullet"/>
      </w:pPr>
      <w:r>
        <w:t>Ensure all incidents, accidents, and near misses are thoroughly investigated and documented.</w:t>
      </w:r>
    </w:p>
    <w:p>
      <w:pPr>
        <w:pStyle w:val="ListBullet"/>
      </w:pPr>
      <w:r>
        <w:t>Implement corrective actions to prevent recurrence of incidents.</w:t>
      </w:r>
    </w:p>
    <w:p>
      <w:pPr>
        <w:pStyle w:val="ListBullet"/>
      </w:pPr>
      <w:r>
        <w:t>Maintain accurate records of all incident reports and investigations.</w:t>
      </w:r>
    </w:p>
    <w:p>
      <w:pPr>
        <w:pStyle w:val="Heading2"/>
      </w:pPr>
      <w:r>
        <w:t>Supervisor/Foreman Responsibilities</w:t>
      </w:r>
    </w:p>
    <w:p>
      <w:pPr>
        <w:pStyle w:val="ListBullet"/>
      </w:pPr>
      <w:r>
        <w:t>Ensure immediate first aid or medical attention for injured employees.</w:t>
      </w:r>
    </w:p>
    <w:p>
      <w:pPr>
        <w:pStyle w:val="ListBullet"/>
      </w:pPr>
      <w:r>
        <w:t>Secure the incident scene to prevent further injury or property damage.</w:t>
      </w:r>
    </w:p>
    <w:p>
      <w:pPr>
        <w:pStyle w:val="ListBullet"/>
      </w:pPr>
      <w:r>
        <w:t>Initiate incident investigations promptly and thoroughly.</w:t>
      </w:r>
    </w:p>
    <w:p>
      <w:pPr>
        <w:pStyle w:val="ListBullet"/>
      </w:pPr>
      <w:r>
        <w:t>Complete and submit all required incident reports within specified timeframes.</w:t>
      </w:r>
    </w:p>
    <w:p>
      <w:pPr>
        <w:pStyle w:val="ListBullet"/>
      </w:pPr>
      <w:r>
        <w:t>Communicate findings and corrective actions to affected employees.</w:t>
      </w:r>
    </w:p>
    <w:p>
      <w:pPr>
        <w:pStyle w:val="Heading2"/>
      </w:pPr>
      <w:r>
        <w:t>Employee Responsibilities</w:t>
      </w:r>
    </w:p>
    <w:p>
      <w:pPr>
        <w:pStyle w:val="ListBullet"/>
      </w:pPr>
      <w:r>
        <w:t>Report all incidents, accidents, and near misses to their supervisor immediately, regardless of severity.</w:t>
      </w:r>
    </w:p>
    <w:p>
      <w:pPr>
        <w:pStyle w:val="ListBullet"/>
      </w:pPr>
      <w:r>
        <w:t>Cooperate fully with all incident investigations.</w:t>
      </w:r>
    </w:p>
    <w:p>
      <w:pPr>
        <w:pStyle w:val="ListBullet"/>
      </w:pPr>
      <w:r>
        <w:t>Adhere to all safety policies and procedures to prevent incidents.</w:t>
      </w:r>
    </w:p>
    <w:p>
      <w:pPr>
        <w:pStyle w:val="Heading2"/>
      </w:pPr>
      <w:r>
        <w:t>Subcontractor Responsibilities</w:t>
      </w:r>
    </w:p>
    <w:p>
      <w:pPr>
        <w:pStyle w:val="ListBullet"/>
      </w:pPr>
      <w:r>
        <w:t>Comply with all MH Construction safety policies and procedures.</w:t>
      </w:r>
    </w:p>
    <w:p>
      <w:pPr>
        <w:pStyle w:val="ListBullet"/>
      </w:pPr>
      <w:r>
        <w:t>Report all incidents, accidents, and near misses involving their employees or operations to MH Construction management immediately.</w:t>
      </w:r>
    </w:p>
    <w:p>
      <w:pPr>
        <w:pStyle w:val="ListBullet"/>
      </w:pPr>
      <w:r>
        <w:t>Participate in incident investigations as required by MH Construction.</w:t>
      </w:r>
    </w:p>
    <w:p>
      <w:pPr>
        <w:pStyle w:val="Heading1"/>
      </w:pPr>
      <w:r>
        <w:t>Procedures / Requirements</w:t>
      </w:r>
    </w:p>
    <w:p>
      <w:pPr>
        <w:pStyle w:val="ListNumber"/>
      </w:pPr>
      <w:r>
        <w:t>Immediate Reporting: All employees, subcontractors, and visitors must report any incident, accident, or near miss to their immediate supervisor or MH Construction management as soon as possible, but no later than the end of the shift during which the event occurred. For serious incidents (e.g., those requiring hospitalization or resulting in fatality), reporting must be immediate. Per OSHA 29 CFR 1904.39, fatalities must be reported within 8 hours, and inpatient hospitalizations, amputations, or losses of an eye must be reported within 24 hours.</w:t>
      </w:r>
    </w:p>
    <w:p>
      <w:pPr>
        <w:pStyle w:val="ListNumber"/>
      </w:pPr>
      <w:r>
        <w:t>Thorough Investigation: All reported incidents, accidents, and near misses will be thoroughly investigated by the immediate supervisor, Safety Officer, or designated investigation team. The investigation will aim to identify root causes, contributing factors, and necessary corrective actions. Per WAC 296-27, employers must investigate all incidents that result in or had the potential to result in serious injury or illness.</w:t>
      </w:r>
    </w:p>
    <w:p>
      <w:pPr>
        <w:pStyle w:val="ListNumber"/>
      </w:pPr>
      <w:r>
        <w:t>Detailed Documentation: All incidents must be documented using the MH Construction Incident Report Form. This form must include: date and time of incident, location, individuals involved, witnesses, description of the event, type of injury/damage, immediate actions taken, and recommended corrective actions. Per OSHA 29 CFR 1904, employers are required to keep records of work-related injuries and illnesses.</w:t>
      </w:r>
    </w:p>
    <w:p>
      <w:pPr>
        <w:pStyle w:val="ListNumber"/>
      </w:pPr>
      <w:r>
        <w:t>Medical Attention: For any injury, appropriate first aid or medical treatment must be sought immediately. Supervisors must ensure injured employees receive prompt medical care. All first aid cases should also be documented internally.</w:t>
      </w:r>
    </w:p>
    <w:p>
      <w:pPr>
        <w:pStyle w:val="ListNumber"/>
      </w:pPr>
      <w:r>
        <w:t>Implementation of Corrective Actions: Based on investigation findings, effective corrective actions will be developed and implemented to prevent recurrence. These actions may include changes to procedures, equipment modifications, additional training, or disciplinary actions. The effectiveness of corrective actions will be monitored.</w:t>
      </w:r>
    </w:p>
    <w:p>
      <w:pPr>
        <w:pStyle w:val="ListNumber"/>
      </w:pPr>
      <w:r>
        <w:t>Communication: Investigation findings and implemented corrective actions will be communicated to all relevant employees and subcontractors to ensure awareness and promote a proactive safety culture. This aligns with the principles outlined in AGC Safety and Health Manual Ch. 5 Incident Reporting.</w:t>
      </w:r>
    </w:p>
    <w:p>
      <w:pPr>
        <w:pStyle w:val="ListNumber"/>
      </w:pPr>
      <w:r>
        <w:t>OSHA 300 Log: MH Construction will maintain an OSHA 300 Log for recording all recordable work-related injuries and illnesses, as required by 29 CFR 1904. The OSHA 300A Summary of Work-Related Injuries and Illnesses will be posted annually from February 1 to April 30.</w:t>
      </w:r>
    </w:p>
    <w:p>
      <w:pPr>
        <w:pStyle w:val="ListNumber"/>
      </w:pPr>
      <w:r>
        <w:t>Washington State Requirements: In addition to federal OSHA requirements, MH Construction will comply with all applicable WISHA regulations, including WAC 296-27 for recording and reporting occupational injuries and illnesses, and WAC 296-155-110(5) regarding accident prevention programs. Where WISHA standards are more stringent than OSHA, the WISHA standard will take precedence.</w:t>
      </w:r>
    </w:p>
    <w:p>
      <w:pPr>
        <w:pStyle w:val="Heading1"/>
      </w:pPr>
      <w:r>
        <w:t>Training Requirements</w:t>
      </w:r>
    </w:p>
    <w:p>
      <w:r>
        <w:t>All employees and supervisors will receive training on this Incident Reporting policy, including procedures for reporting, investigation, and documentation. Training will be conducted upon initial hire and annually thereafter, or as needed due to policy changes or identified deficiencies. Training records, including dates, attendees, and topics covered, will be maintained by the Safety Officer. Per 29 CFR 1926.20(b)(3), employers must instruct each employee in the recognition and avoidance of unsafe conditions and the regulations applicable to his work environment to control or eliminate any hazards or other exposure to illness or injury.</w:t>
      </w:r>
    </w:p>
    <w:p>
      <w:pPr>
        <w:pStyle w:val="Heading1"/>
      </w:pPr>
      <w:r>
        <w:t>Inspection and Enforcement</w:t>
      </w:r>
    </w:p>
    <w:p>
      <w:r>
        <w:t>Compliance with this policy will be monitored through regular site inspections, safety audits, and review of incident reports. The Safety Officer is responsible for overseeing compliance. Any non-compliance or deficiencies identified will result in immediate corrective action. Enforcement will follow MH Construction's progressive discipline policy.</w:t>
      </w:r>
    </w:p>
    <w:p>
      <w:pPr>
        <w:pStyle w:val="Heading1"/>
      </w:pPr>
      <w:r>
        <w:t>Recordkeeping</w:t>
      </w:r>
    </w:p>
    <w:p>
      <w:r>
        <w:t>The Safety Officer is responsible for maintaining all incident reports, investigation findings, corrective action plans, and OSHA 300 Logs. Records will be retained for a minimum of five (5) years from the date of the incident, as required by 29 CFR 1904.33. Training records will be maintained for the duration of employment plus three years.</w:t>
      </w:r>
    </w:p>
    <w:p>
      <w:pPr>
        <w:pStyle w:val="Heading1"/>
      </w:pPr>
      <w:r>
        <w:t>Violation Consequences</w:t>
      </w:r>
    </w:p>
    <w:p>
      <w:r>
        <w:t>Failure to comply with the provisions of this Incident Reporting policy may result in disciplinary action, up to and including termination of employment or contract, depending on the severity and frequency of the violation. MH Construction is committed to maintaining a safe workplace, and adherence to safety policies is a condition of employment and engagement.</w:t>
      </w:r>
    </w:p>
    <w:p>
      <w:pPr>
        <w:pStyle w:val="Heading1"/>
      </w:pPr>
      <w:r>
        <w:t>References</w:t>
      </w:r>
    </w:p>
    <w:p>
      <w:pPr>
        <w:pStyle w:val="ListBullet"/>
      </w:pPr>
      <w:r>
        <w:t>OSHA: 29 CFR 1904 Recording and Reporting Occupational Injuries and Illnesses</w:t>
      </w:r>
    </w:p>
    <w:p>
      <w:pPr>
        <w:pStyle w:val="ListBullet"/>
      </w:pPr>
      <w:r>
        <w:t>OSHA: 29 CFR 1904.39 Reporting Fatalities and Hospitalizations</w:t>
      </w:r>
    </w:p>
    <w:p>
      <w:pPr>
        <w:pStyle w:val="ListBullet"/>
      </w:pPr>
      <w:r>
        <w:t>OSHA: 29 CFR 1926.20 (b)(3)</w:t>
      </w:r>
    </w:p>
    <w:p>
      <w:pPr>
        <w:pStyle w:val="ListBullet"/>
      </w:pPr>
      <w:r>
        <w:t>WISHA: WAC 296-27 Recording and Reporting Occupational Injuries and Illnesses</w:t>
      </w:r>
    </w:p>
    <w:p>
      <w:pPr>
        <w:pStyle w:val="ListBullet"/>
      </w:pPr>
      <w:r>
        <w:t>WISHA: WAC 296-155-110 (5)</w:t>
      </w:r>
    </w:p>
    <w:p>
      <w:pPr>
        <w:pStyle w:val="ListBullet"/>
      </w:pPr>
      <w:r>
        <w:t>AGC: Safety and Health Manual Ch. 5 Incident Reporting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03031F-A2DF-4495-B4C5-98EE3AE8B4B7}"/>
</file>

<file path=customXml/itemProps3.xml><?xml version="1.0" encoding="utf-8"?>
<ds:datastoreItem xmlns:ds="http://schemas.openxmlformats.org/officeDocument/2006/customXml" ds:itemID="{1684E274-0A27-4DCE-AD08-4D9F0333CD4B}"/>
</file>

<file path=customXml/itemProps4.xml><?xml version="1.0" encoding="utf-8"?>
<ds:datastoreItem xmlns:ds="http://schemas.openxmlformats.org/officeDocument/2006/customXml" ds:itemID="{2D6142D2-ECEB-4B12-86C3-37DB84EB8AB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