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MH CONSTRUCTION, INC.</w:t>
        <w:br/>
      </w:r>
      <w:r>
        <w:rPr>
          <w:rFonts w:ascii="Arial" w:hAnsi="Arial"/>
          <w:sz w:val="24"/>
        </w:rPr>
        <w:t>Industrial Safety &amp; Health Program (MISH)</w:t>
        <w:br/>
      </w:r>
      <w:r>
        <w:rPr>
          <w:rFonts w:ascii="Arial" w:hAnsi="Arial"/>
          <w:sz w:val="24"/>
        </w:rPr>
        <w:t>MISH 14 | Welding, Cutting, and Heating Operations</w:t>
        <w:br/>
      </w:r>
      <w:r>
        <w:rPr>
          <w:rFonts w:ascii="Arial" w:hAnsi="Arial"/>
          <w:sz w:val="24"/>
        </w:rPr>
        <w:t>Revision 3 | Effective: 04/07/2026 | Safety Officer: Matt Ramsey</w:t>
      </w:r>
    </w:p>
    <w:p>
      <w:r>
        <w:br/>
      </w:r>
    </w:p>
    <w:p>
      <w:pPr>
        <w:pStyle w:val="Heading1"/>
      </w:pPr>
      <w:r>
        <w:t>Regulatory Authority</w:t>
      </w:r>
    </w:p>
    <w:tbl>
      <w:tblPr>
        <w:tblW w:type="auto" w:w="0"/>
        <w:tblLayout w:type="autofit"/>
        <w:tblLook w:firstColumn="1" w:firstRow="1" w:lastColumn="0" w:lastRow="0" w:noHBand="0" w:noVBand="1" w:val="04A0"/>
      </w:tblPr>
      <w:tblGrid>
        <w:gridCol w:w="2160"/>
        <w:gridCol w:w="2880"/>
        <w:gridCol w:w="5760"/>
      </w:tblGrid>
      <w:tr>
        <w:tc>
          <w:tcPr>
            <w:tcW w:type="dxa" w:w="3000"/>
          </w:tcPr>
          <w:p>
            <w:r>
              <w:rPr>
                <w:rFonts w:ascii="Arial" w:hAnsi="Arial"/>
                <w:b/>
                <w:sz w:val="22"/>
              </w:rPr>
              <w:t>Authority</w:t>
            </w:r>
          </w:p>
        </w:tc>
        <w:tc>
          <w:tcPr>
            <w:tcW w:type="dxa" w:w="3000"/>
          </w:tcPr>
          <w:p>
            <w:r>
              <w:rPr>
                <w:rFonts w:ascii="Arial" w:hAnsi="Arial"/>
                <w:b/>
                <w:sz w:val="22"/>
              </w:rPr>
              <w:t>Citation</w:t>
            </w:r>
          </w:p>
        </w:tc>
        <w:tc>
          <w:tcPr>
            <w:tcW w:type="dxa" w:w="3000"/>
          </w:tcPr>
          <w:p>
            <w:r>
              <w:rPr>
                <w:rFonts w:ascii="Arial" w:hAnsi="Arial"/>
                <w:b/>
                <w:sz w:val="22"/>
              </w:rPr>
              <w:t>Title/Description</w:t>
            </w:r>
          </w:p>
        </w:tc>
      </w:tr>
      <w:tr>
        <w:tc>
          <w:tcPr>
            <w:tcW w:type="dxa" w:w="2160"/>
          </w:tcPr>
          <w:p>
            <w:r>
              <w:rPr>
                <w:rFonts w:ascii="Arial" w:hAnsi="Arial"/>
                <w:sz w:val="22"/>
              </w:rPr>
              <w:t>OSHA</w:t>
            </w:r>
          </w:p>
        </w:tc>
        <w:tc>
          <w:tcPr>
            <w:tcW w:type="dxa" w:w="2880"/>
          </w:tcPr>
          <w:p>
            <w:r>
              <w:rPr>
                <w:rFonts w:ascii="Arial" w:hAnsi="Arial"/>
                <w:sz w:val="22"/>
              </w:rPr>
              <w:t>29</w:t>
            </w:r>
          </w:p>
        </w:tc>
        <w:tc>
          <w:tcPr>
            <w:tcW w:type="dxa" w:w="5760"/>
          </w:tcPr>
          <w:p>
            <w:r>
              <w:rPr>
                <w:rFonts w:ascii="Arial" w:hAnsi="Arial"/>
                <w:sz w:val="22"/>
              </w:rPr>
              <w:t>CFR 1926 Subpart J</w:t>
            </w:r>
          </w:p>
        </w:tc>
      </w:tr>
      <w:tr>
        <w:tc>
          <w:tcPr>
            <w:tcW w:type="dxa" w:w="2160"/>
          </w:tcPr>
          <w:p>
            <w:r>
              <w:rPr>
                <w:rFonts w:ascii="Arial" w:hAnsi="Arial"/>
                <w:sz w:val="22"/>
              </w:rPr>
              <w:t>OSHA</w:t>
            </w:r>
          </w:p>
        </w:tc>
        <w:tc>
          <w:tcPr>
            <w:tcW w:type="dxa" w:w="2880"/>
          </w:tcPr>
          <w:p>
            <w:r>
              <w:rPr>
                <w:rFonts w:ascii="Arial" w:hAnsi="Arial"/>
                <w:sz w:val="22"/>
              </w:rPr>
              <w:t>29</w:t>
            </w:r>
          </w:p>
        </w:tc>
        <w:tc>
          <w:tcPr>
            <w:tcW w:type="dxa" w:w="5760"/>
          </w:tcPr>
          <w:p>
            <w:r>
              <w:rPr>
                <w:rFonts w:ascii="Arial" w:hAnsi="Arial"/>
                <w:sz w:val="22"/>
              </w:rPr>
              <w:t>CFR 1926.350 Gas Welding and Cutting</w:t>
            </w:r>
          </w:p>
        </w:tc>
      </w:tr>
      <w:tr>
        <w:tc>
          <w:tcPr>
            <w:tcW w:type="dxa" w:w="2160"/>
          </w:tcPr>
          <w:p>
            <w:r>
              <w:rPr>
                <w:rFonts w:ascii="Arial" w:hAnsi="Arial"/>
                <w:sz w:val="22"/>
              </w:rPr>
              <w:t>OSHA</w:t>
            </w:r>
          </w:p>
        </w:tc>
        <w:tc>
          <w:tcPr>
            <w:tcW w:type="dxa" w:w="2880"/>
          </w:tcPr>
          <w:p>
            <w:r>
              <w:rPr>
                <w:rFonts w:ascii="Arial" w:hAnsi="Arial"/>
                <w:sz w:val="22"/>
              </w:rPr>
              <w:t>29</w:t>
            </w:r>
          </w:p>
        </w:tc>
        <w:tc>
          <w:tcPr>
            <w:tcW w:type="dxa" w:w="5760"/>
          </w:tcPr>
          <w:p>
            <w:r>
              <w:rPr>
                <w:rFonts w:ascii="Arial" w:hAnsi="Arial"/>
                <w:sz w:val="22"/>
              </w:rPr>
              <w:t>CFR 1926.351 Arc Welding and Cutting</w:t>
            </w:r>
          </w:p>
        </w:tc>
      </w:tr>
      <w:tr>
        <w:tc>
          <w:tcPr>
            <w:tcW w:type="dxa" w:w="2160"/>
          </w:tcPr>
          <w:p>
            <w:r>
              <w:rPr>
                <w:rFonts w:ascii="Arial" w:hAnsi="Arial"/>
                <w:sz w:val="22"/>
              </w:rPr>
              <w:t>OSHA</w:t>
            </w:r>
          </w:p>
        </w:tc>
        <w:tc>
          <w:tcPr>
            <w:tcW w:type="dxa" w:w="2880"/>
          </w:tcPr>
          <w:p>
            <w:r>
              <w:rPr>
                <w:rFonts w:ascii="Arial" w:hAnsi="Arial"/>
                <w:sz w:val="22"/>
              </w:rPr>
              <w:t>29</w:t>
            </w:r>
          </w:p>
        </w:tc>
        <w:tc>
          <w:tcPr>
            <w:tcW w:type="dxa" w:w="5760"/>
          </w:tcPr>
          <w:p>
            <w:r>
              <w:rPr>
                <w:rFonts w:ascii="Arial" w:hAnsi="Arial"/>
                <w:sz w:val="22"/>
              </w:rPr>
              <w:t>CFR 1926.352 Fire Prevention</w:t>
            </w:r>
          </w:p>
        </w:tc>
      </w:tr>
      <w:tr>
        <w:tc>
          <w:tcPr>
            <w:tcW w:type="dxa" w:w="2160"/>
          </w:tcPr>
          <w:p>
            <w:r>
              <w:rPr>
                <w:rFonts w:ascii="Arial" w:hAnsi="Arial"/>
                <w:sz w:val="22"/>
              </w:rPr>
              <w:t>OSHA</w:t>
            </w:r>
          </w:p>
        </w:tc>
        <w:tc>
          <w:tcPr>
            <w:tcW w:type="dxa" w:w="2880"/>
          </w:tcPr>
          <w:p>
            <w:r>
              <w:rPr>
                <w:rFonts w:ascii="Arial" w:hAnsi="Arial"/>
                <w:sz w:val="22"/>
              </w:rPr>
              <w:t>29</w:t>
            </w:r>
          </w:p>
        </w:tc>
        <w:tc>
          <w:tcPr>
            <w:tcW w:type="dxa" w:w="5760"/>
          </w:tcPr>
          <w:p>
            <w:r>
              <w:rPr>
                <w:rFonts w:ascii="Arial" w:hAnsi="Arial"/>
                <w:sz w:val="22"/>
              </w:rPr>
              <w:t>CFR 1926.353 Ventilation and Protection</w:t>
            </w:r>
          </w:p>
        </w:tc>
      </w:tr>
      <w:tr>
        <w:tc>
          <w:tcPr>
            <w:tcW w:type="dxa" w:w="2160"/>
          </w:tcPr>
          <w:p>
            <w:r>
              <w:rPr>
                <w:rFonts w:ascii="Arial" w:hAnsi="Arial"/>
                <w:sz w:val="22"/>
              </w:rPr>
              <w:t>OSHA</w:t>
            </w:r>
          </w:p>
        </w:tc>
        <w:tc>
          <w:tcPr>
            <w:tcW w:type="dxa" w:w="2880"/>
          </w:tcPr>
          <w:p>
            <w:r>
              <w:rPr>
                <w:rFonts w:ascii="Arial" w:hAnsi="Arial"/>
                <w:sz w:val="22"/>
              </w:rPr>
              <w:t>29</w:t>
            </w:r>
          </w:p>
        </w:tc>
        <w:tc>
          <w:tcPr>
            <w:tcW w:type="dxa" w:w="5760"/>
          </w:tcPr>
          <w:p>
            <w:r>
              <w:rPr>
                <w:rFonts w:ascii="Arial" w:hAnsi="Arial"/>
                <w:sz w:val="22"/>
              </w:rPr>
              <w:t>CFR 1926.354 Welding on Preservative Coatings</w:t>
            </w:r>
          </w:p>
        </w:tc>
      </w:tr>
      <w:tr>
        <w:tc>
          <w:tcPr>
            <w:tcW w:type="dxa" w:w="2160"/>
          </w:tcPr>
          <w:p>
            <w:r>
              <w:rPr>
                <w:rFonts w:ascii="Arial" w:hAnsi="Arial"/>
                <w:sz w:val="22"/>
              </w:rPr>
              <w:t>WISHA</w:t>
            </w:r>
          </w:p>
        </w:tc>
        <w:tc>
          <w:tcPr>
            <w:tcW w:type="dxa" w:w="2880"/>
          </w:tcPr>
          <w:p>
            <w:r>
              <w:rPr>
                <w:rFonts w:ascii="Arial" w:hAnsi="Arial"/>
                <w:sz w:val="22"/>
              </w:rPr>
              <w:t>WAC</w:t>
            </w:r>
          </w:p>
        </w:tc>
        <w:tc>
          <w:tcPr>
            <w:tcW w:type="dxa" w:w="5760"/>
          </w:tcPr>
          <w:p>
            <w:r>
              <w:rPr>
                <w:rFonts w:ascii="Arial" w:hAnsi="Arial"/>
                <w:sz w:val="22"/>
              </w:rPr>
              <w:t>296-155-400 Gas Welding and Cutting</w:t>
            </w:r>
          </w:p>
        </w:tc>
      </w:tr>
      <w:tr>
        <w:tc>
          <w:tcPr>
            <w:tcW w:type="dxa" w:w="2160"/>
          </w:tcPr>
          <w:p>
            <w:r>
              <w:rPr>
                <w:rFonts w:ascii="Arial" w:hAnsi="Arial"/>
                <w:sz w:val="22"/>
              </w:rPr>
              <w:t>WISHA</w:t>
            </w:r>
          </w:p>
        </w:tc>
        <w:tc>
          <w:tcPr>
            <w:tcW w:type="dxa" w:w="2880"/>
          </w:tcPr>
          <w:p>
            <w:r>
              <w:rPr>
                <w:rFonts w:ascii="Arial" w:hAnsi="Arial"/>
                <w:sz w:val="22"/>
              </w:rPr>
              <w:t>WAC</w:t>
            </w:r>
          </w:p>
        </w:tc>
        <w:tc>
          <w:tcPr>
            <w:tcW w:type="dxa" w:w="5760"/>
          </w:tcPr>
          <w:p>
            <w:r>
              <w:rPr>
                <w:rFonts w:ascii="Arial" w:hAnsi="Arial"/>
                <w:sz w:val="22"/>
              </w:rPr>
              <w:t>296-155-405 Arc Welding and Cutting</w:t>
            </w:r>
          </w:p>
        </w:tc>
      </w:tr>
      <w:tr>
        <w:tc>
          <w:tcPr>
            <w:tcW w:type="dxa" w:w="2160"/>
          </w:tcPr>
          <w:p>
            <w:r>
              <w:rPr>
                <w:rFonts w:ascii="Arial" w:hAnsi="Arial"/>
                <w:sz w:val="22"/>
              </w:rPr>
              <w:t>WISHA</w:t>
            </w:r>
          </w:p>
        </w:tc>
        <w:tc>
          <w:tcPr>
            <w:tcW w:type="dxa" w:w="2880"/>
          </w:tcPr>
          <w:p>
            <w:r>
              <w:rPr>
                <w:rFonts w:ascii="Arial" w:hAnsi="Arial"/>
                <w:sz w:val="22"/>
              </w:rPr>
              <w:t>WAC</w:t>
            </w:r>
          </w:p>
        </w:tc>
        <w:tc>
          <w:tcPr>
            <w:tcW w:type="dxa" w:w="5760"/>
          </w:tcPr>
          <w:p>
            <w:r>
              <w:rPr>
                <w:rFonts w:ascii="Arial" w:hAnsi="Arial"/>
                <w:sz w:val="22"/>
              </w:rPr>
              <w:t>296-155-407 Protective Clothing</w:t>
            </w:r>
          </w:p>
        </w:tc>
      </w:tr>
      <w:tr>
        <w:tc>
          <w:tcPr>
            <w:tcW w:type="dxa" w:w="2160"/>
          </w:tcPr>
          <w:p>
            <w:r>
              <w:rPr>
                <w:rFonts w:ascii="Arial" w:hAnsi="Arial"/>
                <w:sz w:val="22"/>
              </w:rPr>
              <w:t>WISHA</w:t>
            </w:r>
          </w:p>
        </w:tc>
        <w:tc>
          <w:tcPr>
            <w:tcW w:type="dxa" w:w="2880"/>
          </w:tcPr>
          <w:p>
            <w:r>
              <w:rPr>
                <w:rFonts w:ascii="Arial" w:hAnsi="Arial"/>
                <w:sz w:val="22"/>
              </w:rPr>
              <w:t>WAC</w:t>
            </w:r>
          </w:p>
        </w:tc>
        <w:tc>
          <w:tcPr>
            <w:tcW w:type="dxa" w:w="5760"/>
          </w:tcPr>
          <w:p>
            <w:r>
              <w:rPr>
                <w:rFonts w:ascii="Arial" w:hAnsi="Arial"/>
                <w:sz w:val="22"/>
              </w:rPr>
              <w:t>296-155-410 Fire Prevention</w:t>
            </w:r>
          </w:p>
        </w:tc>
      </w:tr>
      <w:tr>
        <w:tc>
          <w:tcPr>
            <w:tcW w:type="dxa" w:w="2160"/>
          </w:tcPr>
          <w:p>
            <w:r>
              <w:rPr>
                <w:rFonts w:ascii="Arial" w:hAnsi="Arial"/>
                <w:sz w:val="22"/>
              </w:rPr>
              <w:t>WISHA</w:t>
            </w:r>
          </w:p>
        </w:tc>
        <w:tc>
          <w:tcPr>
            <w:tcW w:type="dxa" w:w="2880"/>
          </w:tcPr>
          <w:p>
            <w:r>
              <w:rPr>
                <w:rFonts w:ascii="Arial" w:hAnsi="Arial"/>
                <w:sz w:val="22"/>
              </w:rPr>
              <w:t>WAC</w:t>
            </w:r>
          </w:p>
        </w:tc>
        <w:tc>
          <w:tcPr>
            <w:tcW w:type="dxa" w:w="5760"/>
          </w:tcPr>
          <w:p>
            <w:r>
              <w:rPr>
                <w:rFonts w:ascii="Arial" w:hAnsi="Arial"/>
                <w:sz w:val="22"/>
              </w:rPr>
              <w:t>296-155-415 Ventilation and Protection</w:t>
            </w:r>
          </w:p>
        </w:tc>
      </w:tr>
      <w:tr>
        <w:tc>
          <w:tcPr>
            <w:tcW w:type="dxa" w:w="2160"/>
          </w:tcPr>
          <w:p>
            <w:r>
              <w:rPr>
                <w:rFonts w:ascii="Arial" w:hAnsi="Arial"/>
                <w:sz w:val="22"/>
              </w:rPr>
              <w:t>AGC</w:t>
            </w:r>
          </w:p>
        </w:tc>
        <w:tc>
          <w:tcPr>
            <w:tcW w:type="dxa" w:w="2880"/>
          </w:tcPr>
          <w:p>
            <w:r>
              <w:rPr>
                <w:rFonts w:ascii="Arial" w:hAnsi="Arial"/>
                <w:sz w:val="22"/>
              </w:rPr>
              <w:t>Safety and Health Manual Ch. 9 Welding and Cutting</w:t>
            </w:r>
          </w:p>
        </w:tc>
        <w:tc>
          <w:tcPr>
            <w:tcW w:type="dxa" w:w="5760"/>
          </w:tcPr>
          <w:p>
            <w:r>
              <w:rPr>
                <w:rFonts w:ascii="Arial" w:hAnsi="Arial"/>
                <w:sz w:val="22"/>
              </w:rPr>
            </w:r>
          </w:p>
        </w:tc>
      </w:tr>
    </w:tbl>
    <w:p>
      <w:pPr>
        <w:pStyle w:val="Heading1"/>
      </w:pPr>
      <w:r>
        <w:t>Purpose</w:t>
      </w:r>
    </w:p>
    <w:p>
      <w:r>
        <w:t>This policy establishes guidelines for safe welding, cutting, and heating operations to prevent injuries, fires, and exposure to hazardous fumes. It aims to protect all personnel from the inherent risks associated with these activities on MH Construction job sites.</w:t>
      </w:r>
    </w:p>
    <w:p>
      <w:pPr>
        <w:pStyle w:val="Heading1"/>
      </w:pPr>
      <w:r>
        <w:t>Scope</w:t>
      </w:r>
    </w:p>
    <w:p>
      <w:r>
        <w:t>This policy applies to all MH Construction, Inc. employees, subcontractors, and visitors engaged in or exposed to welding, cutting, and heating operations on any MH Construction job site.</w:t>
      </w:r>
    </w:p>
    <w:p>
      <w:pPr>
        <w:pStyle w:val="Heading1"/>
      </w:pPr>
      <w:r>
        <w:t>Definitions</w:t>
      </w:r>
    </w:p>
    <w:tbl>
      <w:tblPr>
        <w:tblW w:type="auto" w:w="0"/>
        <w:tblLayout w:type="autofit"/>
        <w:tblLook w:firstColumn="1" w:firstRow="1" w:lastColumn="0" w:lastRow="0" w:noHBand="0" w:noVBand="1" w:val="04A0"/>
      </w:tblPr>
      <w:tblGrid>
        <w:gridCol w:w="2880"/>
        <w:gridCol w:w="8640"/>
      </w:tblGrid>
      <w:tr>
        <w:tc>
          <w:tcPr>
            <w:tcW w:type="dxa" w:w="4500"/>
          </w:tcPr>
          <w:p>
            <w:r>
              <w:rPr>
                <w:rFonts w:ascii="Arial" w:hAnsi="Arial"/>
                <w:b/>
                <w:sz w:val="22"/>
              </w:rPr>
              <w:t>Term</w:t>
            </w:r>
          </w:p>
        </w:tc>
        <w:tc>
          <w:tcPr>
            <w:tcW w:type="dxa" w:w="4500"/>
          </w:tcPr>
          <w:p>
            <w:r>
              <w:rPr>
                <w:rFonts w:ascii="Arial" w:hAnsi="Arial"/>
                <w:b/>
                <w:sz w:val="22"/>
              </w:rPr>
              <w:t>Definition</w:t>
            </w:r>
          </w:p>
        </w:tc>
      </w:tr>
      <w:tr>
        <w:tc>
          <w:tcPr>
            <w:tcW w:type="dxa" w:w="2880"/>
          </w:tcPr>
          <w:p>
            <w:r>
              <w:rPr>
                <w:rFonts w:ascii="Arial" w:hAnsi="Arial"/>
                <w:sz w:val="22"/>
              </w:rPr>
              <w:t>Hot Work</w:t>
            </w:r>
          </w:p>
        </w:tc>
        <w:tc>
          <w:tcPr>
            <w:tcW w:type="dxa" w:w="8640"/>
          </w:tcPr>
          <w:p>
            <w:r>
              <w:rPr>
                <w:rFonts w:ascii="Arial" w:hAnsi="Arial"/>
                <w:sz w:val="22"/>
              </w:rPr>
              <w:t>Any operation involving open flames, producing heat and/or sparks, including welding, cutting, grinding, and brazing.</w:t>
            </w:r>
          </w:p>
        </w:tc>
      </w:tr>
      <w:tr>
        <w:tc>
          <w:tcPr>
            <w:tcW w:type="dxa" w:w="2880"/>
          </w:tcPr>
          <w:p>
            <w:r>
              <w:rPr>
                <w:rFonts w:ascii="Arial" w:hAnsi="Arial"/>
                <w:sz w:val="22"/>
              </w:rPr>
              <w:t>Fire Watch</w:t>
            </w:r>
          </w:p>
        </w:tc>
        <w:tc>
          <w:tcPr>
            <w:tcW w:type="dxa" w:w="8640"/>
          </w:tcPr>
          <w:p>
            <w:r>
              <w:rPr>
                <w:rFonts w:ascii="Arial" w:hAnsi="Arial"/>
                <w:sz w:val="22"/>
              </w:rPr>
              <w:t>A designated person responsible for observing hot work operations and surrounding areas for fires, equipped with appropriate fire extinguishing equipment.</w:t>
            </w:r>
          </w:p>
        </w:tc>
      </w:tr>
      <w:tr>
        <w:tc>
          <w:tcPr>
            <w:tcW w:type="dxa" w:w="2880"/>
          </w:tcPr>
          <w:p>
            <w:r>
              <w:rPr>
                <w:rFonts w:ascii="Arial" w:hAnsi="Arial"/>
                <w:sz w:val="22"/>
              </w:rPr>
              <w:t>Confined Space</w:t>
            </w:r>
          </w:p>
        </w:tc>
        <w:tc>
          <w:tcPr>
            <w:tcW w:type="dxa" w:w="8640"/>
          </w:tcPr>
          <w:p>
            <w:r>
              <w:rPr>
                <w:rFonts w:ascii="Arial" w:hAnsi="Arial"/>
                <w:sz w:val="22"/>
              </w:rPr>
              <w:t>A space that is large enough for an employee to enter and perform assigned work, has limited or restricted means for entry or exit, and is not designed for continuous employee occupancy.</w:t>
            </w:r>
          </w:p>
        </w:tc>
      </w:tr>
      <w:tr>
        <w:tc>
          <w:tcPr>
            <w:tcW w:type="dxa" w:w="2880"/>
          </w:tcPr>
          <w:p>
            <w:r>
              <w:rPr>
                <w:rFonts w:ascii="Arial" w:hAnsi="Arial"/>
                <w:sz w:val="22"/>
              </w:rPr>
              <w:t>PPE</w:t>
            </w:r>
          </w:p>
        </w:tc>
        <w:tc>
          <w:tcPr>
            <w:tcW w:type="dxa" w:w="8640"/>
          </w:tcPr>
          <w:p>
            <w:r>
              <w:rPr>
                <w:rFonts w:ascii="Arial" w:hAnsi="Arial"/>
                <w:sz w:val="22"/>
              </w:rPr>
              <w:t>Personal Protective Equipment, including but not limited to welding helmets, gloves, flame-resistant clothing, and safety glasses.</w:t>
            </w:r>
          </w:p>
        </w:tc>
      </w:tr>
      <w:tr>
        <w:tc>
          <w:tcPr>
            <w:tcW w:type="dxa" w:w="2880"/>
          </w:tcPr>
          <w:p>
            <w:r>
              <w:rPr>
                <w:rFonts w:ascii="Arial" w:hAnsi="Arial"/>
                <w:sz w:val="22"/>
              </w:rPr>
              <w:t>Flashback Arrestor</w:t>
            </w:r>
          </w:p>
        </w:tc>
        <w:tc>
          <w:tcPr>
            <w:tcW w:type="dxa" w:w="8640"/>
          </w:tcPr>
          <w:p>
            <w:r>
              <w:rPr>
                <w:rFonts w:ascii="Arial" w:hAnsi="Arial"/>
                <w:sz w:val="22"/>
              </w:rPr>
              <w:t>A device designed to prevent a flame from traveling back into the gas supply hose and regulator.</w:t>
            </w:r>
          </w:p>
        </w:tc>
      </w:tr>
    </w:tbl>
    <w:p>
      <w:pPr>
        <w:pStyle w:val="Heading1"/>
      </w:pPr>
      <w:r>
        <w:t>Responsibilities</w:t>
      </w:r>
    </w:p>
    <w:p>
      <w:pPr>
        <w:pStyle w:val="Heading2"/>
      </w:pPr>
      <w:r>
        <w:t>Company/Management Responsibilities</w:t>
      </w:r>
    </w:p>
    <w:p>
      <w:pPr>
        <w:pStyle w:val="ListBullet"/>
      </w:pPr>
      <w:r>
        <w:t>Provide necessary resources, equipment, and training to ensure safe welding, cutting, and heating operations.</w:t>
      </w:r>
    </w:p>
    <w:p>
      <w:pPr>
        <w:pStyle w:val="ListBullet"/>
      </w:pPr>
      <w:r>
        <w:t>Establish and enforce this MISH program and related safety policies.</w:t>
      </w:r>
    </w:p>
    <w:p>
      <w:pPr>
        <w:pStyle w:val="ListBullet"/>
      </w:pPr>
      <w:r>
        <w:t>Conduct periodic reviews of hot work procedures and equipment.</w:t>
      </w:r>
    </w:p>
    <w:p>
      <w:pPr>
        <w:pStyle w:val="Heading2"/>
      </w:pPr>
      <w:r>
        <w:t>Supervisor/Foreman Responsibilities</w:t>
      </w:r>
    </w:p>
    <w:p>
      <w:pPr>
        <w:pStyle w:val="ListBullet"/>
      </w:pPr>
      <w:r>
        <w:t>Ensure all hot work operations are conducted in accordance with this policy and applicable regulations (e.g., 29 CFR 1926.352).</w:t>
      </w:r>
    </w:p>
    <w:p>
      <w:pPr>
        <w:pStyle w:val="ListBullet"/>
      </w:pPr>
      <w:r>
        <w:t>Issue hot work permits when required and ensure fire watch personnel are properly trained and equipped.</w:t>
      </w:r>
    </w:p>
    <w:p>
      <w:pPr>
        <w:pStyle w:val="ListBullet"/>
      </w:pPr>
      <w:r>
        <w:t>Verify that all personnel involved in hot work have received appropriate training and use required PPE.</w:t>
      </w:r>
    </w:p>
    <w:p>
      <w:pPr>
        <w:pStyle w:val="Heading2"/>
      </w:pPr>
      <w:r>
        <w:t>Employee Responsibilities</w:t>
      </w:r>
    </w:p>
    <w:p>
      <w:pPr>
        <w:pStyle w:val="ListBullet"/>
      </w:pPr>
      <w:r>
        <w:t>Adhere to all hot work procedures, safety rules, and wear appropriate PPE (e.g., WAC 296-155-407).</w:t>
      </w:r>
    </w:p>
    <w:p>
      <w:pPr>
        <w:pStyle w:val="ListBullet"/>
      </w:pPr>
      <w:r>
        <w:t>Report any unsafe conditions, equipment malfunctions, or incidents immediately to their supervisor.</w:t>
      </w:r>
    </w:p>
    <w:p>
      <w:pPr>
        <w:pStyle w:val="ListBullet"/>
      </w:pPr>
      <w:r>
        <w:t>Participate in all required training and understand the hazards associated with welding, cutting, and heating.</w:t>
      </w:r>
    </w:p>
    <w:p>
      <w:pPr>
        <w:pStyle w:val="Heading2"/>
      </w:pPr>
      <w:r>
        <w:t>Subcontractor Responsibilities</w:t>
      </w:r>
    </w:p>
    <w:p>
      <w:pPr>
        <w:pStyle w:val="ListBullet"/>
      </w:pPr>
      <w:r>
        <w:t>Comply with all MH Construction hot work policies and procedures, as well as all applicable OSHA and WISHA regulations.</w:t>
      </w:r>
    </w:p>
    <w:p>
      <w:pPr>
        <w:pStyle w:val="ListBullet"/>
      </w:pPr>
      <w:r>
        <w:t>Provide their employees with necessary training, PPE, and safe equipment for hot work operations.</w:t>
      </w:r>
    </w:p>
    <w:p>
      <w:pPr>
        <w:pStyle w:val="ListBullet"/>
      </w:pPr>
      <w:r>
        <w:t>Coordinate all hot work activities with the MH Construction site supervisor.</w:t>
      </w:r>
    </w:p>
    <w:p>
      <w:pPr>
        <w:pStyle w:val="Heading1"/>
      </w:pPr>
      <w:r>
        <w:t>Procedures / Requirements</w:t>
      </w:r>
    </w:p>
    <w:p>
      <w:pPr>
        <w:pStyle w:val="Heading2"/>
      </w:pPr>
      <w:r>
        <w:t>7.1 General Safety Precautions</w:t>
      </w:r>
    </w:p>
    <w:p>
      <w:pPr>
        <w:pStyle w:val="ListNumber"/>
      </w:pPr>
      <w:r>
        <w:t>Before commencing any hot work, a thorough hazard assessment must be conducted to identify potential fire hazards, combustible materials, and atmospheric contaminants. All combustible materials within 35 feet must be removed or protected with fire-resistant covers (Per 29 CFR 1926.352(a)).</w:t>
      </w:r>
    </w:p>
    <w:p>
      <w:pPr>
        <w:pStyle w:val="ListNumber"/>
      </w:pPr>
      <w:r>
        <w:t>Ensure adequate ventilation is present to prevent the accumulation of toxic fumes or gases. Mechanical ventilation must be used in confined spaces or areas with limited natural airflow (Per 29 CFR 1926.353(a) and WAC 296-155-415).</w:t>
      </w:r>
    </w:p>
    <w:p>
      <w:pPr>
        <w:pStyle w:val="ListNumber"/>
      </w:pPr>
      <w:r>
        <w:t>Appropriate Personal Protective Equipment (PPE) must be worn at all times, including welding helmets with proper shade lenses, flame-resistant clothing, gauntlet gloves, and safety glasses (Per WAC 296-155-407).</w:t>
      </w:r>
    </w:p>
    <w:p>
      <w:pPr>
        <w:pStyle w:val="Heading2"/>
      </w:pPr>
      <w:r>
        <w:t>7.2 Fire Prevention and Protection</w:t>
      </w:r>
    </w:p>
    <w:p>
      <w:pPr>
        <w:pStyle w:val="ListNumber"/>
      </w:pPr>
      <w:r>
        <w:t>A trained fire watch must be present during and for at least 30 minutes after hot work operations, equipped with suitable fire extinguishing equipment (Per 29 CFR 1926.352(e) and WAC 296-155-410).</w:t>
      </w:r>
    </w:p>
    <w:p>
      <w:pPr>
        <w:pStyle w:val="ListNumber"/>
      </w:pPr>
      <w:r>
        <w:t>Fire extinguishers (minimum 20-B rating) or charged hose lines must be readily available in the immediate vicinity of hot work (Per 29 CFR 1926.352(d)).</w:t>
      </w:r>
    </w:p>
    <w:p>
      <w:pPr>
        <w:pStyle w:val="ListNumber"/>
      </w:pPr>
      <w:r>
        <w:t>Hot work permits are required for all operations outside designated hot work areas. Permits must be approved by the site supervisor and clearly outline precautions.</w:t>
      </w:r>
    </w:p>
    <w:p>
      <w:pPr>
        <w:pStyle w:val="Heading2"/>
      </w:pPr>
      <w:r>
        <w:t>7.3 Gas Welding and Cutting</w:t>
      </w:r>
    </w:p>
    <w:p>
      <w:pPr>
        <w:pStyle w:val="ListNumber"/>
      </w:pPr>
      <w:r>
        <w:t>Oxygen and fuel gas cylinders must be stored, handled, and used in an upright position and secured to prevent tipping. Valve protection caps must be in place when cylinders are not in use or connected (Per 29 CFR 1926.350(a) and WAC 296-155-400).</w:t>
      </w:r>
    </w:p>
    <w:p>
      <w:pPr>
        <w:pStyle w:val="ListNumber"/>
      </w:pPr>
      <w:r>
        <w:t>Flashback arrestors must be installed on both the oxygen and fuel gas regulators to prevent reverse flow and flashbacks (Per WAC 296-155-400(10)).</w:t>
      </w:r>
    </w:p>
    <w:p>
      <w:pPr>
        <w:pStyle w:val="ListNumber"/>
      </w:pPr>
      <w:r>
        <w:t>Hoses and connections must be inspected daily for leaks, cuts, or damage. Defective equipment must be immediately removed from service.</w:t>
      </w:r>
    </w:p>
    <w:p>
      <w:pPr>
        <w:pStyle w:val="Heading2"/>
      </w:pPr>
      <w:r>
        <w:t>7.4 Arc Welding and Cutting</w:t>
      </w:r>
    </w:p>
    <w:p>
      <w:pPr>
        <w:pStyle w:val="ListNumber"/>
      </w:pPr>
      <w:r>
        <w:t>Arc welding machines must be properly grounded. The work lead must be attached to the workpiece or to the work table (Per 29 CFR 1926.351(b) and WAC 296-155-405).</w:t>
      </w:r>
    </w:p>
    <w:p>
      <w:pPr>
        <w:pStyle w:val="ListNumber"/>
      </w:pPr>
      <w:r>
        <w:t>Electrode holders, cables, and other equipment must be in good repair. Frayed or damaged cables must not be used.</w:t>
      </w:r>
    </w:p>
    <w:p>
      <w:pPr>
        <w:pStyle w:val="ListNumber"/>
      </w:pPr>
      <w:r>
        <w:t>When not in use, electrode holders must be placed where they cannot make electrical contact with persons, conducting objects, or flammable materials.</w:t>
      </w:r>
    </w:p>
    <w:p>
      <w:pPr>
        <w:pStyle w:val="Heading2"/>
      </w:pPr>
      <w:r>
        <w:t>7.5 Welding on Preservative Coatings</w:t>
      </w:r>
    </w:p>
    <w:p>
      <w:pPr>
        <w:pStyle w:val="ListNumber"/>
      </w:pPr>
      <w:r>
        <w:t>Welding, cutting, or heating operations on surfaces covered with preservative coatings (e.g., paints, galvanizing) must only be performed after ensuring adequate ventilation and respiratory protection are in place to prevent exposure to toxic fumes (Per 29 CFR 1926.354).</w:t>
      </w:r>
    </w:p>
    <w:p>
      <w:pPr>
        <w:pStyle w:val="ListNumber"/>
      </w:pPr>
      <w:r>
        <w:t>The coating must be removed from the area to be welded or heated, or specific precautions taken to protect workers from hazardous fumes.</w:t>
      </w:r>
    </w:p>
    <w:p>
      <w:pPr>
        <w:pStyle w:val="Heading2"/>
      </w:pPr>
      <w:r>
        <w:t>7.6 Confined Spaces</w:t>
      </w:r>
    </w:p>
    <w:p>
      <w:pPr>
        <w:pStyle w:val="ListNumber"/>
      </w:pPr>
      <w:r>
        <w:t>Hot work in confined spaces requires a specific confined space entry permit and continuous atmospheric monitoring. Ventilation must be provided to maintain safe oxygen levels and prevent accumulation of hazardous fumes (Per WAC 296-155-415(4)).</w:t>
      </w:r>
    </w:p>
    <w:p>
      <w:pPr>
        <w:pStyle w:val="ListNumber"/>
      </w:pPr>
      <w:r>
        <w:t>All cylinders and welding machines must remain outside the confined space.</w:t>
      </w:r>
    </w:p>
    <w:p>
      <w:pPr>
        <w:pStyle w:val="Heading1"/>
      </w:pPr>
      <w:r>
        <w:t>Training Requirements</w:t>
      </w:r>
    </w:p>
    <w:p>
      <w:r>
        <w:t>All employees involved in welding, cutting, and heating operations, as well as those acting as fire watch, must receive comprehensive training on the hazards, safe operating procedures, emergency response, and proper use of PPE. Training must be documented and refreshed periodically, as required by OSHA and WISHA standards. Specific training on gas welding and cutting (29 CFR 1926.350, WAC 296-155-400) and arc welding and cutting (29 CFR 1926.351, WAC 296-155-405) is mandatory.</w:t>
      </w:r>
    </w:p>
    <w:p>
      <w:pPr>
        <w:pStyle w:val="Heading1"/>
      </w:pPr>
      <w:r>
        <w:t>Inspection and Enforcement</w:t>
      </w:r>
    </w:p>
    <w:p>
      <w:r>
        <w:t>Supervisors will conduct regular inspections of hot work operations, equipment, and work areas to ensure compliance with this policy and regulatory requirements. Any non-compliance will result in immediate corrective action, which may include stopping work, retraining, or disciplinary measures. Equipment found to be unsafe will be tagged out and removed from service until repaired or replaced.</w:t>
      </w:r>
    </w:p>
    <w:p>
      <w:pPr>
        <w:pStyle w:val="Heading1"/>
      </w:pPr>
      <w:r>
        <w:t>Recordkeeping</w:t>
      </w:r>
    </w:p>
    <w:p>
      <w:r>
        <w:t>The following records must be maintained by the Safety Officer or designated personnel:</w:t>
      </w:r>
    </w:p>
    <w:p>
      <w:pPr>
        <w:pStyle w:val="ListBullet"/>
      </w:pPr>
      <w:r>
        <w:t>Hot work permits (retained for the duration of the project).</w:t>
      </w:r>
    </w:p>
    <w:p>
      <w:pPr>
        <w:pStyle w:val="ListBullet"/>
      </w:pPr>
      <w:r>
        <w:t>Employee training records (retained for the duration of employment).</w:t>
      </w:r>
    </w:p>
    <w:p>
      <w:pPr>
        <w:pStyle w:val="ListBullet"/>
      </w:pPr>
      <w:r>
        <w:t>Equipment inspection and maintenance logs (retained for 3 years).</w:t>
      </w:r>
    </w:p>
    <w:p>
      <w:pPr>
        <w:pStyle w:val="ListBullet"/>
      </w:pPr>
      <w:r>
        <w:t>Incident and accident reports related to hot work (retained indefinitely).</w:t>
      </w:r>
    </w:p>
    <w:p>
      <w:pPr>
        <w:pStyle w:val="Heading1"/>
      </w:pPr>
      <w:r>
        <w:t>Violation Consequences</w:t>
      </w:r>
    </w:p>
    <w:p>
      <w:r>
        <w:t>Failure to comply with this policy and associated safety procedures will result in progressive disciplinary action, up to and including termination of employment or contract. Violations may also lead to immediate removal from the job site and reporting to relevant regulatory authorities.</w:t>
      </w:r>
    </w:p>
    <w:p>
      <w:pPr>
        <w:pStyle w:val="Heading1"/>
      </w:pPr>
      <w:r>
        <w:t>References</w:t>
      </w:r>
    </w:p>
    <w:p>
      <w:pPr>
        <w:pStyle w:val="ListBullet"/>
      </w:pPr>
      <w:r>
        <w:t>OSHA: 29 CFR 1926 Subpart J</w:t>
      </w:r>
    </w:p>
    <w:p>
      <w:pPr>
        <w:pStyle w:val="ListBullet"/>
      </w:pPr>
      <w:r>
        <w:t>OSHA: 29 CFR 1926.350 Gas Welding and Cutting</w:t>
      </w:r>
    </w:p>
    <w:p>
      <w:pPr>
        <w:pStyle w:val="ListBullet"/>
      </w:pPr>
      <w:r>
        <w:t>OSHA: 29 CFR 1926.351 Arc Welding and Cutting</w:t>
      </w:r>
    </w:p>
    <w:p>
      <w:pPr>
        <w:pStyle w:val="ListBullet"/>
      </w:pPr>
      <w:r>
        <w:t>OSHA: 29 CFR 1926.352 Fire Prevention</w:t>
      </w:r>
    </w:p>
    <w:p>
      <w:pPr>
        <w:pStyle w:val="ListBullet"/>
      </w:pPr>
      <w:r>
        <w:t>OSHA: 29 CFR 1926.353 Ventilation and Protection</w:t>
      </w:r>
    </w:p>
    <w:p>
      <w:pPr>
        <w:pStyle w:val="ListBullet"/>
      </w:pPr>
      <w:r>
        <w:t>OSHA: 29 CFR 1926.354 Welding on Preservative Coatings</w:t>
      </w:r>
    </w:p>
    <w:p>
      <w:pPr>
        <w:pStyle w:val="ListBullet"/>
      </w:pPr>
      <w:r>
        <w:t>WISHA: WAC 296-155-400 Gas Welding and Cutting</w:t>
      </w:r>
    </w:p>
    <w:p>
      <w:pPr>
        <w:pStyle w:val="ListBullet"/>
      </w:pPr>
      <w:r>
        <w:t>WISHA: WAC 296-155-405 Arc Welding and Cutting</w:t>
      </w:r>
    </w:p>
    <w:p>
      <w:pPr>
        <w:pStyle w:val="ListBullet"/>
      </w:pPr>
      <w:r>
        <w:t>WISHA: WAC 296-155-407 Protective Clothing</w:t>
      </w:r>
    </w:p>
    <w:p>
      <w:pPr>
        <w:pStyle w:val="ListBullet"/>
      </w:pPr>
      <w:r>
        <w:t>WISHA: WAC 296-155-410 Fire Prevention</w:t>
      </w:r>
    </w:p>
    <w:p>
      <w:pPr>
        <w:pStyle w:val="ListBullet"/>
      </w:pPr>
      <w:r>
        <w:t>WISHA: WAC 296-155-415 Ventilation and Protection</w:t>
      </w:r>
    </w:p>
    <w:p>
      <w:pPr>
        <w:pStyle w:val="ListBullet"/>
      </w:pPr>
      <w:r>
        <w:t>AGC: Safety and Health Manual Ch. 9 Welding and Cutting</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FD6FF46-644F-4C9B-AEB8-EDC8C6F0D91B}"/>
</file>

<file path=customXml/itemProps3.xml><?xml version="1.0" encoding="utf-8"?>
<ds:datastoreItem xmlns:ds="http://schemas.openxmlformats.org/officeDocument/2006/customXml" ds:itemID="{BBDB54B1-FFA3-42BC-A273-0D51892812C7}"/>
</file>

<file path=customXml/itemProps4.xml><?xml version="1.0" encoding="utf-8"?>
<ds:datastoreItem xmlns:ds="http://schemas.openxmlformats.org/officeDocument/2006/customXml" ds:itemID="{F068CFA7-5AAF-4233-8951-1D6D7E2BFEC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