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MH CONSTRUCTION, INC.</w:t>
        <w:br/>
      </w:r>
      <w:r>
        <w:rPr>
          <w:rFonts w:ascii="Arial" w:hAnsi="Arial"/>
          <w:sz w:val="22"/>
        </w:rPr>
        <w:t>Industrial Safety &amp; Health Program (MISH)</w:t>
        <w:br/>
      </w:r>
      <w:r>
        <w:rPr>
          <w:rFonts w:ascii="Arial" w:hAnsi="Arial"/>
          <w:sz w:val="22"/>
        </w:rPr>
        <w:t>MISH 26 | Excavation, Trenching, and Shoring</w:t>
        <w:br/>
      </w:r>
      <w:r>
        <w:rPr>
          <w:rFonts w:ascii="Arial" w:hAnsi="Arial"/>
          <w:sz w:val="22"/>
        </w:rPr>
        <w:t>Revision 3 | Effective: 04/07/2026 | Safety Officer: Matt Ramsey</w:t>
      </w:r>
    </w:p>
    <w:p>
      <w:r>
        <w:t>──────────────────────────────────────────────────────────────────────</w:t>
      </w:r>
    </w:p>
    <w:p>
      <w:pPr>
        <w:pStyle w:val="Heading1"/>
      </w:pPr>
      <w:r>
        <w:t>1. Regulatory Authority</w:t>
      </w:r>
    </w:p>
    <w:tbl>
      <w:tblPr>
        <w:tblStyle w:val="TableGrid"/>
        <w:tblW w:type="auto" w:w="0"/>
        <w:tblLook w:firstColumn="1" w:firstRow="1" w:lastColumn="0" w:lastRow="0" w:noHBand="0" w:noVBand="1" w:val="04A0"/>
      </w:tblPr>
      <w:tblGrid>
        <w:gridCol w:w="3000"/>
        <w:gridCol w:w="3000"/>
        <w:gridCol w:w="3000"/>
      </w:tblGrid>
      <w:tr>
        <w:tc>
          <w:tcPr>
            <w:tcW w:type="dxa" w:w="3000"/>
          </w:tcPr>
          <w:p>
            <w:r>
              <w:rPr>
                <w:rFonts w:ascii="Arial" w:hAnsi="Arial"/>
                <w:sz w:val="22"/>
              </w:rPr>
              <w:t>Authority</w:t>
            </w:r>
          </w:p>
        </w:tc>
        <w:tc>
          <w:tcPr>
            <w:tcW w:type="dxa" w:w="3000"/>
          </w:tcPr>
          <w:p>
            <w:r>
              <w:rPr>
                <w:rFonts w:ascii="Arial" w:hAnsi="Arial"/>
                <w:sz w:val="22"/>
              </w:rPr>
              <w:t>Citation</w:t>
            </w:r>
          </w:p>
        </w:tc>
        <w:tc>
          <w:tcPr>
            <w:tcW w:type="dxa" w:w="3000"/>
          </w:tcPr>
          <w:p>
            <w:r>
              <w:rPr>
                <w:rFonts w:ascii="Arial" w:hAnsi="Arial"/>
                <w:sz w:val="22"/>
              </w:rPr>
              <w:t>Title/Description</w:t>
            </w:r>
          </w:p>
        </w:tc>
      </w:tr>
      <w:tr>
        <w:tc>
          <w:tcPr>
            <w:tcW w:type="dxa" w:w="3000"/>
          </w:tcPr>
          <w:p>
            <w:r>
              <w:rPr>
                <w:rFonts w:ascii="Arial" w:hAnsi="Arial"/>
                <w:sz w:val="22"/>
              </w:rPr>
              <w:t>OSHA</w:t>
            </w:r>
          </w:p>
        </w:tc>
        <w:tc>
          <w:tcPr>
            <w:tcW w:type="dxa" w:w="3000"/>
          </w:tcPr>
          <w:p>
            <w:r>
              <w:rPr>
                <w:rFonts w:ascii="Arial" w:hAnsi="Arial"/>
                <w:sz w:val="22"/>
              </w:rPr>
              <w:t>29 CFR</w:t>
            </w:r>
          </w:p>
        </w:tc>
        <w:tc>
          <w:tcPr>
            <w:tcW w:type="dxa" w:w="3000"/>
          </w:tcPr>
          <w:p>
            <w:r>
              <w:rPr>
                <w:rFonts w:ascii="Arial" w:hAnsi="Arial"/>
                <w:sz w:val="22"/>
              </w:rPr>
              <w:t>1926 Subpart P</w:t>
            </w:r>
          </w:p>
        </w:tc>
      </w:tr>
      <w:tr>
        <w:tc>
          <w:tcPr>
            <w:tcW w:type="dxa" w:w="3000"/>
          </w:tcPr>
          <w:p>
            <w:r>
              <w:rPr>
                <w:rFonts w:ascii="Arial" w:hAnsi="Arial"/>
                <w:sz w:val="22"/>
              </w:rPr>
              <w:t>OSHA</w:t>
            </w:r>
          </w:p>
        </w:tc>
        <w:tc>
          <w:tcPr>
            <w:tcW w:type="dxa" w:w="3000"/>
          </w:tcPr>
          <w:p>
            <w:r>
              <w:rPr>
                <w:rFonts w:ascii="Arial" w:hAnsi="Arial"/>
                <w:sz w:val="22"/>
              </w:rPr>
              <w:t>29 CFR</w:t>
            </w:r>
          </w:p>
        </w:tc>
        <w:tc>
          <w:tcPr>
            <w:tcW w:type="dxa" w:w="3000"/>
          </w:tcPr>
          <w:p>
            <w:r>
              <w:rPr>
                <w:rFonts w:ascii="Arial" w:hAnsi="Arial"/>
                <w:sz w:val="22"/>
              </w:rPr>
              <w:t>1926.650 Scope</w:t>
            </w:r>
          </w:p>
        </w:tc>
      </w:tr>
      <w:tr>
        <w:tc>
          <w:tcPr>
            <w:tcW w:type="dxa" w:w="3000"/>
          </w:tcPr>
          <w:p>
            <w:r>
              <w:rPr>
                <w:rFonts w:ascii="Arial" w:hAnsi="Arial"/>
                <w:sz w:val="22"/>
              </w:rPr>
              <w:t>OSHA</w:t>
            </w:r>
          </w:p>
        </w:tc>
        <w:tc>
          <w:tcPr>
            <w:tcW w:type="dxa" w:w="3000"/>
          </w:tcPr>
          <w:p>
            <w:r>
              <w:rPr>
                <w:rFonts w:ascii="Arial" w:hAnsi="Arial"/>
                <w:sz w:val="22"/>
              </w:rPr>
              <w:t>29 CFR</w:t>
            </w:r>
          </w:p>
        </w:tc>
        <w:tc>
          <w:tcPr>
            <w:tcW w:type="dxa" w:w="3000"/>
          </w:tcPr>
          <w:p>
            <w:r>
              <w:rPr>
                <w:rFonts w:ascii="Arial" w:hAnsi="Arial"/>
                <w:sz w:val="22"/>
              </w:rPr>
              <w:t>1926.651 Specific Excavation Requirements</w:t>
            </w:r>
          </w:p>
        </w:tc>
      </w:tr>
      <w:tr>
        <w:tc>
          <w:tcPr>
            <w:tcW w:type="dxa" w:w="3000"/>
          </w:tcPr>
          <w:p>
            <w:r>
              <w:rPr>
                <w:rFonts w:ascii="Arial" w:hAnsi="Arial"/>
                <w:sz w:val="22"/>
              </w:rPr>
              <w:t>OSHA</w:t>
            </w:r>
          </w:p>
        </w:tc>
        <w:tc>
          <w:tcPr>
            <w:tcW w:type="dxa" w:w="3000"/>
          </w:tcPr>
          <w:p>
            <w:r>
              <w:rPr>
                <w:rFonts w:ascii="Arial" w:hAnsi="Arial"/>
                <w:sz w:val="22"/>
              </w:rPr>
              <w:t>29 CFR</w:t>
            </w:r>
          </w:p>
        </w:tc>
        <w:tc>
          <w:tcPr>
            <w:tcW w:type="dxa" w:w="3000"/>
          </w:tcPr>
          <w:p>
            <w:r>
              <w:rPr>
                <w:rFonts w:ascii="Arial" w:hAnsi="Arial"/>
                <w:sz w:val="22"/>
              </w:rPr>
              <w:t>1926.652 Requirements for Protective Systems</w:t>
            </w:r>
          </w:p>
        </w:tc>
      </w:tr>
      <w:tr>
        <w:tc>
          <w:tcPr>
            <w:tcW w:type="dxa" w:w="3000"/>
          </w:tcPr>
          <w:p>
            <w:r>
              <w:rPr>
                <w:rFonts w:ascii="Arial" w:hAnsi="Arial"/>
                <w:sz w:val="22"/>
              </w:rPr>
              <w:t>WISHA</w:t>
            </w:r>
          </w:p>
        </w:tc>
        <w:tc>
          <w:tcPr>
            <w:tcW w:type="dxa" w:w="3000"/>
          </w:tcPr>
          <w:p>
            <w:r>
              <w:rPr>
                <w:rFonts w:ascii="Arial" w:hAnsi="Arial"/>
                <w:sz w:val="22"/>
              </w:rPr>
              <w:t>WAC 296-155-650</w:t>
            </w:r>
          </w:p>
        </w:tc>
        <w:tc>
          <w:tcPr>
            <w:tcW w:type="dxa" w:w="3000"/>
          </w:tcPr>
          <w:p>
            <w:r>
              <w:rPr>
                <w:rFonts w:ascii="Arial" w:hAnsi="Arial"/>
                <w:sz w:val="22"/>
              </w:rPr>
              <w:t>Scope and Application</w:t>
            </w:r>
          </w:p>
        </w:tc>
      </w:tr>
      <w:tr>
        <w:tc>
          <w:tcPr>
            <w:tcW w:type="dxa" w:w="3000"/>
          </w:tcPr>
          <w:p>
            <w:r>
              <w:rPr>
                <w:rFonts w:ascii="Arial" w:hAnsi="Arial"/>
                <w:sz w:val="22"/>
              </w:rPr>
              <w:t>WISHA</w:t>
            </w:r>
          </w:p>
        </w:tc>
        <w:tc>
          <w:tcPr>
            <w:tcW w:type="dxa" w:w="3000"/>
          </w:tcPr>
          <w:p>
            <w:r>
              <w:rPr>
                <w:rFonts w:ascii="Arial" w:hAnsi="Arial"/>
                <w:sz w:val="22"/>
              </w:rPr>
              <w:t>WAC 296-155-652</w:t>
            </w:r>
          </w:p>
        </w:tc>
        <w:tc>
          <w:tcPr>
            <w:tcW w:type="dxa" w:w="3000"/>
          </w:tcPr>
          <w:p>
            <w:r>
              <w:rPr>
                <w:rFonts w:ascii="Arial" w:hAnsi="Arial"/>
                <w:sz w:val="22"/>
              </w:rPr>
              <w:t>Definitions</w:t>
            </w:r>
          </w:p>
        </w:tc>
      </w:tr>
      <w:tr>
        <w:tc>
          <w:tcPr>
            <w:tcW w:type="dxa" w:w="3000"/>
          </w:tcPr>
          <w:p>
            <w:r>
              <w:rPr>
                <w:rFonts w:ascii="Arial" w:hAnsi="Arial"/>
                <w:sz w:val="22"/>
              </w:rPr>
              <w:t>WISHA</w:t>
            </w:r>
          </w:p>
        </w:tc>
        <w:tc>
          <w:tcPr>
            <w:tcW w:type="dxa" w:w="3000"/>
          </w:tcPr>
          <w:p>
            <w:r>
              <w:rPr>
                <w:rFonts w:ascii="Arial" w:hAnsi="Arial"/>
                <w:sz w:val="22"/>
              </w:rPr>
              <w:t>WAC 296-155-655</w:t>
            </w:r>
          </w:p>
        </w:tc>
        <w:tc>
          <w:tcPr>
            <w:tcW w:type="dxa" w:w="3000"/>
          </w:tcPr>
          <w:p>
            <w:r>
              <w:rPr>
                <w:rFonts w:ascii="Arial" w:hAnsi="Arial"/>
                <w:sz w:val="22"/>
              </w:rPr>
              <w:t>General Protection Requirements</w:t>
            </w:r>
          </w:p>
        </w:tc>
      </w:tr>
      <w:tr>
        <w:tc>
          <w:tcPr>
            <w:tcW w:type="dxa" w:w="3000"/>
          </w:tcPr>
          <w:p>
            <w:r>
              <w:rPr>
                <w:rFonts w:ascii="Arial" w:hAnsi="Arial"/>
                <w:sz w:val="22"/>
              </w:rPr>
              <w:t>WISHA</w:t>
            </w:r>
          </w:p>
        </w:tc>
        <w:tc>
          <w:tcPr>
            <w:tcW w:type="dxa" w:w="3000"/>
          </w:tcPr>
          <w:p>
            <w:r>
              <w:rPr>
                <w:rFonts w:ascii="Arial" w:hAnsi="Arial"/>
                <w:sz w:val="22"/>
              </w:rPr>
              <w:t>WAC 296-155-657</w:t>
            </w:r>
          </w:p>
        </w:tc>
        <w:tc>
          <w:tcPr>
            <w:tcW w:type="dxa" w:w="3000"/>
          </w:tcPr>
          <w:p>
            <w:r>
              <w:rPr>
                <w:rFonts w:ascii="Arial" w:hAnsi="Arial"/>
                <w:sz w:val="22"/>
              </w:rPr>
              <w:t>Requirements for Protective Systems</w:t>
            </w:r>
          </w:p>
        </w:tc>
      </w:tr>
      <w:tr>
        <w:tc>
          <w:tcPr>
            <w:tcW w:type="dxa" w:w="3000"/>
          </w:tcPr>
          <w:p>
            <w:r>
              <w:rPr>
                <w:rFonts w:ascii="Arial" w:hAnsi="Arial"/>
                <w:sz w:val="22"/>
              </w:rPr>
              <w:t>WISHA</w:t>
            </w:r>
          </w:p>
        </w:tc>
        <w:tc>
          <w:tcPr>
            <w:tcW w:type="dxa" w:w="3000"/>
          </w:tcPr>
          <w:p>
            <w:r>
              <w:rPr>
                <w:rFonts w:ascii="Arial" w:hAnsi="Arial"/>
                <w:sz w:val="22"/>
              </w:rPr>
              <w:t>WAC 296-155-664</w:t>
            </w:r>
          </w:p>
        </w:tc>
        <w:tc>
          <w:tcPr>
            <w:tcW w:type="dxa" w:w="3000"/>
          </w:tcPr>
          <w:p>
            <w:r>
              <w:rPr>
                <w:rFonts w:ascii="Arial" w:hAnsi="Arial"/>
                <w:sz w:val="22"/>
              </w:rPr>
              <w:t>Appendices A-F</w:t>
            </w:r>
          </w:p>
        </w:tc>
      </w:tr>
      <w:tr>
        <w:tc>
          <w:tcPr>
            <w:tcW w:type="dxa" w:w="3000"/>
          </w:tcPr>
          <w:p>
            <w:r>
              <w:rPr>
                <w:rFonts w:ascii="Arial" w:hAnsi="Arial"/>
                <w:sz w:val="22"/>
              </w:rPr>
              <w:t>AGC</w:t>
            </w:r>
          </w:p>
        </w:tc>
        <w:tc>
          <w:tcPr>
            <w:tcW w:type="dxa" w:w="3000"/>
          </w:tcPr>
          <w:p>
            <w:r>
              <w:rPr>
                <w:rFonts w:ascii="Arial" w:hAnsi="Arial"/>
                <w:sz w:val="22"/>
              </w:rPr>
              <w:t>AGC: Safety and Health</w:t>
            </w:r>
          </w:p>
        </w:tc>
        <w:tc>
          <w:tcPr>
            <w:tcW w:type="dxa" w:w="3000"/>
          </w:tcPr>
          <w:p>
            <w:r>
              <w:rPr>
                <w:rFonts w:ascii="Arial" w:hAnsi="Arial"/>
                <w:sz w:val="22"/>
              </w:rPr>
              <w:t>Manual Ch. 20 Excavation and Trenching</w:t>
            </w:r>
          </w:p>
        </w:tc>
      </w:tr>
    </w:tbl>
    <w:p>
      <w:pPr>
        <w:pStyle w:val="Heading1"/>
      </w:pPr>
      <w:r>
        <w:t>2. Purpose</w:t>
      </w:r>
    </w:p>
    <w:p>
      <w:r>
        <w:t>This policy establishes the minimum safety requirements for excavation, trenching, and shoring operations to prevent injuries, fatalities, and property damage. It ensures compliance with all applicable federal and state regulations, protecting all personnel involved in these high-risk activities.</w:t>
      </w:r>
    </w:p>
    <w:p>
      <w:pPr>
        <w:pStyle w:val="Heading1"/>
      </w:pPr>
      <w:r>
        <w:t>3. Scope</w:t>
      </w:r>
    </w:p>
    <w:p>
      <w:r>
        <w:t>This program applies to all MH Construction, Inc. employees, subcontractors, and visitors involved in or present at excavation, trenching, and shoring operations on MH Construction job sites.</w:t>
      </w:r>
    </w:p>
    <w:p>
      <w:pPr>
        <w:pStyle w:val="Heading1"/>
      </w:pPr>
      <w:r>
        <w:t>4. Definitions</w:t>
      </w:r>
    </w:p>
    <w:tbl>
      <w:tblPr>
        <w:tblStyle w:val="TableGrid"/>
        <w:tblW w:type="auto" w:w="0"/>
        <w:tblLook w:firstColumn="1" w:firstRow="1" w:lastColumn="0" w:lastRow="0" w:noHBand="0" w:noVBand="1" w:val="04A0"/>
      </w:tblPr>
      <w:tblGrid>
        <w:gridCol w:w="4500"/>
        <w:gridCol w:w="4500"/>
      </w:tblGrid>
      <w:tr>
        <w:tc>
          <w:tcPr>
            <w:tcW w:type="dxa" w:w="4500"/>
          </w:tcPr>
          <w:p>
            <w:r>
              <w:rPr>
                <w:rFonts w:ascii="Arial" w:hAnsi="Arial"/>
                <w:sz w:val="22"/>
              </w:rPr>
              <w:t>Term</w:t>
            </w:r>
          </w:p>
        </w:tc>
        <w:tc>
          <w:tcPr>
            <w:tcW w:type="dxa" w:w="4500"/>
          </w:tcPr>
          <w:p>
            <w:r>
              <w:rPr>
                <w:rFonts w:ascii="Arial" w:hAnsi="Arial"/>
                <w:sz w:val="22"/>
              </w:rPr>
              <w:t>Definition</w:t>
            </w:r>
          </w:p>
        </w:tc>
      </w:tr>
      <w:tr>
        <w:tc>
          <w:tcPr>
            <w:tcW w:type="dxa" w:w="4500"/>
          </w:tcPr>
          <w:p>
            <w:r>
              <w:rPr>
                <w:rFonts w:ascii="Arial" w:hAnsi="Arial"/>
                <w:sz w:val="22"/>
              </w:rPr>
              <w:t>Competent Person</w:t>
            </w:r>
          </w:p>
        </w:tc>
        <w:tc>
          <w:tcPr>
            <w:tcW w:type="dxa" w:w="4500"/>
          </w:tcPr>
          <w:p>
            <w:r>
              <w:rPr>
                <w:rFonts w:ascii="Arial" w:hAnsi="Arial"/>
                <w:sz w:val="22"/>
              </w:rPr>
              <w:t>An individual designated by the employer who is capable of identifying existing and predictable hazards in the surroundings or working conditions which are unsanitary, hazardous, or dangerous to employees, and who has authorization to take prompt corrective measures to eliminate them.</w:t>
            </w:r>
          </w:p>
        </w:tc>
      </w:tr>
      <w:tr>
        <w:tc>
          <w:tcPr>
            <w:tcW w:type="dxa" w:w="4500"/>
          </w:tcPr>
          <w:p>
            <w:r>
              <w:rPr>
                <w:rFonts w:ascii="Arial" w:hAnsi="Arial"/>
                <w:sz w:val="22"/>
              </w:rPr>
              <w:t>Excavation</w:t>
            </w:r>
          </w:p>
        </w:tc>
        <w:tc>
          <w:tcPr>
            <w:tcW w:type="dxa" w:w="4500"/>
          </w:tcPr>
          <w:p>
            <w:r>
              <w:rPr>
                <w:rFonts w:ascii="Arial" w:hAnsi="Arial"/>
                <w:sz w:val="22"/>
              </w:rPr>
              <w:t>Any man-made cut, cavity, trench, or depression in an earth surface, formed by earth removal.</w:t>
            </w:r>
          </w:p>
        </w:tc>
      </w:tr>
      <w:tr>
        <w:tc>
          <w:tcPr>
            <w:tcW w:type="dxa" w:w="4500"/>
          </w:tcPr>
          <w:p>
            <w:r>
              <w:rPr>
                <w:rFonts w:ascii="Arial" w:hAnsi="Arial"/>
                <w:sz w:val="22"/>
              </w:rPr>
              <w:t>Trench</w:t>
            </w:r>
          </w:p>
        </w:tc>
        <w:tc>
          <w:tcPr>
            <w:tcW w:type="dxa" w:w="4500"/>
          </w:tcPr>
          <w:p>
            <w:r>
              <w:rPr>
                <w:rFonts w:ascii="Arial" w:hAnsi="Arial"/>
                <w:sz w:val="22"/>
              </w:rPr>
              <w:t>A narrow excavation (in relation to its length) made below the surface of the ground. In general, the depth is greater than the width, but the width of a trench (measured at the bottom) is not greater than 15 feet (4.6 m).</w:t>
            </w:r>
          </w:p>
        </w:tc>
      </w:tr>
      <w:tr>
        <w:tc>
          <w:tcPr>
            <w:tcW w:type="dxa" w:w="4500"/>
          </w:tcPr>
          <w:p>
            <w:r>
              <w:rPr>
                <w:rFonts w:ascii="Arial" w:hAnsi="Arial"/>
                <w:sz w:val="22"/>
              </w:rPr>
              <w:t>Shoring</w:t>
            </w:r>
          </w:p>
        </w:tc>
        <w:tc>
          <w:tcPr>
            <w:tcW w:type="dxa" w:w="4500"/>
          </w:tcPr>
          <w:p>
            <w:r>
              <w:rPr>
                <w:rFonts w:ascii="Arial" w:hAnsi="Arial"/>
                <w:sz w:val="22"/>
              </w:rPr>
              <w:t>A protective system that uses aluminum hydraulic or other types of supports to prevent soil collapse.</w:t>
            </w:r>
          </w:p>
        </w:tc>
      </w:tr>
      <w:tr>
        <w:tc>
          <w:tcPr>
            <w:tcW w:type="dxa" w:w="4500"/>
          </w:tcPr>
          <w:p>
            <w:r>
              <w:rPr>
                <w:rFonts w:ascii="Arial" w:hAnsi="Arial"/>
                <w:sz w:val="22"/>
              </w:rPr>
              <w:t>Sloping</w:t>
            </w:r>
          </w:p>
        </w:tc>
        <w:tc>
          <w:tcPr>
            <w:tcW w:type="dxa" w:w="4500"/>
          </w:tcPr>
          <w:p>
            <w:r>
              <w:rPr>
                <w:rFonts w:ascii="Arial" w:hAnsi="Arial"/>
                <w:sz w:val="22"/>
              </w:rPr>
              <w:t>A method of protecting employees from cave-ins by excavating the sides of an excavation to form one or a series of inclined surfaces and can include benching.</w:t>
            </w:r>
          </w:p>
        </w:tc>
      </w:tr>
    </w:tbl>
    <w:p>
      <w:pPr>
        <w:pStyle w:val="Heading1"/>
      </w:pPr>
      <w:r>
        <w:t>5. Responsibilities</w:t>
      </w:r>
    </w:p>
    <w:p>
      <w:pPr>
        <w:pStyle w:val="Heading2"/>
      </w:pPr>
      <w:r>
        <w:t>5.1 Company/Management</w:t>
      </w:r>
    </w:p>
    <w:p>
      <w:pPr>
        <w:pStyle w:val="ListBullet"/>
      </w:pPr>
      <w:r>
        <w:t>Provide necessary resources and training for safe excavation, trenching, and shoring operations.</w:t>
      </w:r>
    </w:p>
    <w:p>
      <w:pPr>
        <w:pStyle w:val="ListBullet"/>
      </w:pPr>
      <w:r>
        <w:t>Ensure compliance with all federal, state, and local regulations.</w:t>
      </w:r>
    </w:p>
    <w:p>
      <w:pPr>
        <w:pStyle w:val="ListBullet"/>
      </w:pPr>
      <w:r>
        <w:t>Designate a Competent Person for all excavation sites.</w:t>
      </w:r>
    </w:p>
    <w:p>
      <w:pPr>
        <w:pStyle w:val="Heading2"/>
      </w:pPr>
      <w:r>
        <w:t>5.2 Supervisor/Foreman</w:t>
      </w:r>
    </w:p>
    <w:p>
      <w:pPr>
        <w:pStyle w:val="ListBullet"/>
      </w:pPr>
      <w:r>
        <w:t>Implement and enforce this program on job sites.</w:t>
      </w:r>
    </w:p>
    <w:p>
      <w:pPr>
        <w:pStyle w:val="ListBullet"/>
      </w:pPr>
      <w:r>
        <w:t>Ensure daily inspections of excavations by a Competent Person.</w:t>
      </w:r>
    </w:p>
    <w:p>
      <w:pPr>
        <w:pStyle w:val="ListBullet"/>
      </w:pPr>
      <w:r>
        <w:t>Stop work immediately if hazardous conditions are identified.</w:t>
      </w:r>
    </w:p>
    <w:p>
      <w:pPr>
        <w:pStyle w:val="Heading2"/>
      </w:pPr>
      <w:r>
        <w:t>5.3 Employees</w:t>
      </w:r>
    </w:p>
    <w:p>
      <w:pPr>
        <w:pStyle w:val="ListBullet"/>
      </w:pPr>
      <w:r>
        <w:t>Adhere to all safety procedures and instructions.</w:t>
      </w:r>
    </w:p>
    <w:p>
      <w:pPr>
        <w:pStyle w:val="ListBullet"/>
      </w:pPr>
      <w:r>
        <w:t>Report any unsafe conditions or practices to their supervisor.</w:t>
      </w:r>
    </w:p>
    <w:p>
      <w:pPr>
        <w:pStyle w:val="ListBullet"/>
      </w:pPr>
      <w:r>
        <w:t>Use appropriate personal protective equipment (PPE).</w:t>
      </w:r>
    </w:p>
    <w:p>
      <w:pPr>
        <w:pStyle w:val="Heading2"/>
      </w:pPr>
      <w:r>
        <w:t>5.4 Subcontractors</w:t>
      </w:r>
    </w:p>
    <w:p>
      <w:pPr>
        <w:pStyle w:val="ListBullet"/>
      </w:pPr>
      <w:r>
        <w:t>Comply with MH Construction, Inc. safety policies and all applicable regulations.</w:t>
      </w:r>
    </w:p>
    <w:p>
      <w:pPr>
        <w:pStyle w:val="ListBullet"/>
      </w:pPr>
      <w:r>
        <w:t>Provide their employees with necessary training and PPE.</w:t>
      </w:r>
    </w:p>
    <w:p>
      <w:pPr>
        <w:pStyle w:val="ListBullet"/>
      </w:pPr>
      <w:r>
        <w:t>Coordinate excavation activities with MH Construction, Inc. supervisors.</w:t>
      </w:r>
    </w:p>
    <w:p>
      <w:pPr>
        <w:pStyle w:val="Heading1"/>
      </w:pPr>
      <w:r>
        <w:t>6. Procedures / Requirements</w:t>
      </w:r>
    </w:p>
    <w:p>
      <w:pPr>
        <w:pStyle w:val="Heading2"/>
      </w:pPr>
      <w:r>
        <w:t>6.1 General Requirements</w:t>
      </w:r>
    </w:p>
    <w:p>
      <w:pPr>
        <w:pStyle w:val="ListNumber"/>
      </w:pPr>
      <w:r>
        <w:t>All excavations 5 feet or deeper must be protected against cave-ins by sloping, shoring, or shielding. (Per 29 CFR 1926.652 and WAC 296-155-657)</w:t>
      </w:r>
    </w:p>
    <w:p>
      <w:pPr>
        <w:pStyle w:val="ListNumber"/>
      </w:pPr>
      <w:r>
        <w:t>A Competent Person must inspect excavations daily and after any rainstorm or other hazard-increasing occurrence. (Per 29 CFR 1926.651(k)(1) and WAC 296-155-655(1))</w:t>
      </w:r>
    </w:p>
    <w:p>
      <w:pPr>
        <w:pStyle w:val="ListNumber"/>
      </w:pPr>
      <w:r>
        <w:t>Access and egress must be provided for excavations 4 feet or more in depth. Ramps, ladders, or stairs must be within 25 feet of employees. (Per 29 CFR 1926.651(c)(2) and WAC 296-155-655(5))</w:t>
      </w:r>
    </w:p>
    <w:p>
      <w:pPr>
        <w:pStyle w:val="Heading2"/>
      </w:pPr>
      <w:r>
        <w:t>6.2 Underground Installations</w:t>
      </w:r>
    </w:p>
    <w:p>
      <w:pPr>
        <w:pStyle w:val="ListNumber"/>
      </w:pPr>
      <w:r>
        <w:t>The estimated location of utility installations, such as sewer, telephone, fuel, electric, water, or other underground installations, must be determined prior to opening an excavation. (Per 29 CFR 1926.651(b)(1) and WAC 296-155-655(2))</w:t>
      </w:r>
    </w:p>
    <w:p>
      <w:pPr>
        <w:pStyle w:val="ListNumber"/>
      </w:pPr>
      <w:r>
        <w:t>When excavation approaches the estimated location of underground installations, the exact location must be determined by safe and acceptable means. (Per 29 CFR 1926.651(b)(2) and WAC 296-155-655(2))</w:t>
      </w:r>
    </w:p>
    <w:p>
      <w:pPr>
        <w:pStyle w:val="Heading2"/>
      </w:pPr>
      <w:r>
        <w:t>6.3 Exposure to Vehicular Traffic</w:t>
      </w:r>
    </w:p>
    <w:p>
      <w:pPr>
        <w:pStyle w:val="ListNumber"/>
      </w:pPr>
      <w:r>
        <w:t>Employees exposed to vehicular traffic must be provided with, and must wear, warning vests or other suitable garments marked with or made of reflective or high-visibility material. (Per 29 CFR 1926.651(d) and WAC 296-155-655(3))</w:t>
      </w:r>
    </w:p>
    <w:p>
      <w:pPr>
        <w:pStyle w:val="Heading2"/>
      </w:pPr>
      <w:r>
        <w:t>6.4 Protection from Falling Objects</w:t>
      </w:r>
    </w:p>
    <w:p>
      <w:pPr>
        <w:pStyle w:val="ListNumber"/>
      </w:pPr>
      <w:r>
        <w:t>Employees must be protected from excavated or other materials or equipment that could fall or roll into excavations. Protection must be provided by placing and keeping such materials or equipment at least 2 feet from the edge of excavations, or by the use of retaining devices. (Per 29 CFR 1926.651(j)(2) and WAC 296-155-655(10))</w:t>
      </w:r>
    </w:p>
    <w:p>
      <w:pPr>
        <w:pStyle w:val="Heading2"/>
      </w:pPr>
      <w:r>
        <w:t>6.5 Water Accumulation</w:t>
      </w:r>
    </w:p>
    <w:p>
      <w:pPr>
        <w:pStyle w:val="ListNumber"/>
      </w:pPr>
      <w:r>
        <w:t>Employees are not permitted to work in excavations where there is accumulated water, or in excavations in which water is accumulating, unless precautions have been taken to protect employees from the hazards posed by water accumulation. (Per 29 CFR 1926.651(h)(1) and WAC 296-155-655(11))</w:t>
      </w:r>
    </w:p>
    <w:p>
      <w:pPr>
        <w:pStyle w:val="Heading2"/>
      </w:pPr>
      <w:r>
        <w:t>6.6 Hazardous Atmospheres</w:t>
      </w:r>
    </w:p>
    <w:p>
      <w:pPr>
        <w:pStyle w:val="ListNumber"/>
      </w:pPr>
      <w:r>
        <w:t>Where oxygen deficiency (less than 19.5 percent) or a hazardous atmosphere exists or could reasonably be expected to exist, such as in excavations in landfill areas or excavations in areas where hazardous substances are stored nearby, the atmospheres in the excavation must be tested before employees enter excavations greater than 4 feet in depth. (Per 29 CFR 1926.651(g)(1) and WAC 296-155-655(12))</w:t>
      </w:r>
    </w:p>
    <w:p>
      <w:pPr>
        <w:pStyle w:val="Heading1"/>
      </w:pPr>
      <w:r>
        <w:t>7. Training Requirements</w:t>
      </w:r>
    </w:p>
    <w:p>
      <w:r>
        <w:t>All employees involved in excavation, trenching, and shoring operations must receive training on the hazards associated with these activities and the methods to control them. Training must cover recognition of hazardous conditions, safe work practices, and the proper use of protective systems. Training records must be maintained by MH Construction, Inc. and made available upon request. (Per 29 CFR 1926.21(b)(2) and WAC 296-155-005)</w:t>
      </w:r>
    </w:p>
    <w:p>
      <w:pPr>
        <w:pStyle w:val="Heading1"/>
      </w:pPr>
      <w:r>
        <w:t>8. Inspection and Enforcement</w:t>
      </w:r>
    </w:p>
    <w:p>
      <w:r>
        <w:t>A Competent Person will conduct daily inspections of all excavations, adjacent areas, and protective systems. Inspections will also occur after any event that could increase hazards, such as heavy rainfall or seismic activity. Any identified deficiencies will be corrected immediately. Non-compliance with this program will result in disciplinary action as outlined in the Violation Consequences section.</w:t>
      </w:r>
    </w:p>
    <w:p>
      <w:pPr>
        <w:pStyle w:val="Heading1"/>
      </w:pPr>
      <w:r>
        <w:t>9. Recordkeeping</w:t>
      </w:r>
    </w:p>
    <w:p>
      <w:r>
        <w:t>Records of Competent Person training, daily excavation inspection logs, and incident reports related to excavation activities will be maintained for a minimum of three years by the Safety Officer. These records will be accessible to employees, their representatives, and regulatory agencies upon request.</w:t>
      </w:r>
    </w:p>
    <w:p>
      <w:pPr>
        <w:pStyle w:val="Heading1"/>
      </w:pPr>
      <w:r>
        <w:t>10. Violation Consequences</w:t>
      </w:r>
    </w:p>
    <w:p>
      <w:r>
        <w:t>Violations of this Excavation, Trenching, and Shoring program will result in progressive disciplinary action, up to and including termination of employment or contract. The severity of the disciplinary action will depend on the nature and gravity of the violation, as well as the employee's prior safety record.</w:t>
      </w:r>
    </w:p>
    <w:p>
      <w:pPr>
        <w:pStyle w:val="Heading1"/>
      </w:pPr>
      <w:r>
        <w:t>11. References</w:t>
      </w:r>
    </w:p>
    <w:p>
      <w:pPr>
        <w:pStyle w:val="ListBullet"/>
      </w:pPr>
      <w:r>
        <w:t>29 CFR 1926 Subpart P</w:t>
      </w:r>
    </w:p>
    <w:p>
      <w:pPr>
        <w:pStyle w:val="ListBullet"/>
      </w:pPr>
      <w:r>
        <w:t>29 CFR 1926.650 Scope</w:t>
      </w:r>
    </w:p>
    <w:p>
      <w:pPr>
        <w:pStyle w:val="ListBullet"/>
      </w:pPr>
      <w:r>
        <w:t>29 CFR 1926.651 Specific Excavation Requirements</w:t>
      </w:r>
    </w:p>
    <w:p>
      <w:pPr>
        <w:pStyle w:val="ListBullet"/>
      </w:pPr>
      <w:r>
        <w:t>29 CFR 1926.652 Requirements for Protective Systems</w:t>
      </w:r>
    </w:p>
    <w:p>
      <w:pPr>
        <w:pStyle w:val="ListBullet"/>
      </w:pPr>
      <w:r>
        <w:t>WAC 296-155-650 Scope and Application</w:t>
      </w:r>
    </w:p>
    <w:p>
      <w:pPr>
        <w:pStyle w:val="ListBullet"/>
      </w:pPr>
      <w:r>
        <w:t>WAC 296-155-652 Definitions</w:t>
      </w:r>
    </w:p>
    <w:p>
      <w:pPr>
        <w:pStyle w:val="ListBullet"/>
      </w:pPr>
      <w:r>
        <w:t>WAC 296-155-655 General Protection Requirements</w:t>
      </w:r>
    </w:p>
    <w:p>
      <w:pPr>
        <w:pStyle w:val="ListBullet"/>
      </w:pPr>
      <w:r>
        <w:t>WAC 296-155-657 Requirements for Protective Systems</w:t>
      </w:r>
    </w:p>
    <w:p>
      <w:pPr>
        <w:pStyle w:val="ListBullet"/>
      </w:pPr>
      <w:r>
        <w:t>WAC 296-155-664 Appendices A-F</w:t>
      </w:r>
    </w:p>
    <w:p>
      <w:pPr>
        <w:pStyle w:val="ListBullet"/>
      </w:pPr>
      <w:r>
        <w:t>AGC: Safety and Health Manual Ch. 20 Excavation and Trenching</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581B9E9-4B45-448F-AAF9-372B868CC81B}"/>
</file>

<file path=customXml/itemProps3.xml><?xml version="1.0" encoding="utf-8"?>
<ds:datastoreItem xmlns:ds="http://schemas.openxmlformats.org/officeDocument/2006/customXml" ds:itemID="{F59D0AA2-EA8D-46AF-9A84-F13CC8EA1163}"/>
</file>

<file path=customXml/itemProps4.xml><?xml version="1.0" encoding="utf-8"?>
<ds:datastoreItem xmlns:ds="http://schemas.openxmlformats.org/officeDocument/2006/customXml" ds:itemID="{5EF00B63-6127-437E-AB40-EC4D1CBB8532}"/>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