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sz w:val="32"/>
        </w:rPr>
        <w:t>MH CONSTRUCTION, INC.</w:t>
      </w:r>
    </w:p>
    <w:p>
      <w:pPr/>
      <w:r>
        <w:t>Industrial Safety &amp; Health Program (MISH)</w:t>
      </w:r>
    </w:p>
    <w:p>
      <w:pPr/>
      <w:r>
        <w:t>MISH 28 | Housekeeping</w:t>
      </w:r>
    </w:p>
    <w:p>
      <w:pPr/>
      <w:r>
        <w:t>Revision 3 | Effective: 04/07/2026 | Safety Officer: Matt Ramsey</w:t>
      </w:r>
    </w:p>
    <w:p>
      <w:r>
        <w:br/>
      </w:r>
      <w:r>
        <w:t>——————————————————————————————————————————————————————————————————————</w:t>
      </w:r>
      <w:r>
        <w:br/>
      </w:r>
    </w:p>
    <w:p>
      <w:pPr>
        <w:pStyle w:val="Heading1"/>
      </w:pPr>
      <w:r>
        <w:t>1. Regulatory Authority</w:t>
      </w:r>
    </w:p>
    <w:tbl>
      <w:tblPr>
        <w:tblW w:type="auto" w:w="0"/>
        <w:tblLayout w:type="autofit"/>
        <w:tblLook w:firstColumn="1" w:firstRow="1" w:lastColumn="0" w:lastRow="0" w:noHBand="0" w:noVBand="1" w:val="04A0"/>
      </w:tblPr>
      <w:tblGrid>
        <w:gridCol w:w="2160"/>
        <w:gridCol w:w="3600"/>
        <w:gridCol w:w="6480"/>
      </w:tblGrid>
      <w:tr>
        <w:tc>
          <w:tcPr>
            <w:tcW w:type="dxa" w:w="3000"/>
            <w:vAlign w:val="center"/>
          </w:tcPr>
          <w:p>
            <w:r>
              <w:rPr>
                <w:rFonts w:ascii="Arial" w:hAnsi="Arial"/>
                <w:b/>
                <w:sz w:val="22"/>
              </w:rPr>
              <w:t>Authority</w:t>
            </w:r>
          </w:p>
        </w:tc>
        <w:tc>
          <w:tcPr>
            <w:tcW w:type="dxa" w:w="3000"/>
            <w:vAlign w:val="center"/>
          </w:tcPr>
          <w:p>
            <w:r>
              <w:rPr>
                <w:rFonts w:ascii="Arial" w:hAnsi="Arial"/>
                <w:b/>
                <w:sz w:val="22"/>
              </w:rPr>
              <w:t>Citation</w:t>
            </w:r>
          </w:p>
        </w:tc>
        <w:tc>
          <w:tcPr>
            <w:tcW w:type="dxa" w:w="3000"/>
            <w:vAlign w:val="center"/>
          </w:tcPr>
          <w:p>
            <w:r>
              <w:rPr>
                <w:rFonts w:ascii="Arial" w:hAnsi="Arial"/>
                <w:b/>
                <w:sz w:val="22"/>
              </w:rPr>
              <w:t>Title/Description</w:t>
            </w:r>
          </w:p>
        </w:tc>
      </w:tr>
      <w:tr>
        <w:tc>
          <w:tcPr>
            <w:tcW w:type="dxa" w:w="2160"/>
          </w:tcPr>
          <w:p>
            <w:r>
              <w:t>OSHA</w:t>
            </w:r>
          </w:p>
        </w:tc>
        <w:tc>
          <w:tcPr>
            <w:tcW w:type="dxa" w:w="3600"/>
          </w:tcPr>
          <w:p>
            <w:r>
              <w:t>29 CFR</w:t>
            </w:r>
          </w:p>
        </w:tc>
        <w:tc>
          <w:tcPr>
            <w:tcW w:type="dxa" w:w="6480"/>
          </w:tcPr>
          <w:p>
            <w:r>
              <w:t>1926.25 Housekeeping</w:t>
            </w:r>
          </w:p>
        </w:tc>
      </w:tr>
      <w:tr>
        <w:tc>
          <w:tcPr>
            <w:tcW w:type="dxa" w:w="2160"/>
          </w:tcPr>
          <w:p>
            <w:r>
              <w:t>WISHA</w:t>
            </w:r>
          </w:p>
        </w:tc>
        <w:tc>
          <w:tcPr>
            <w:tcW w:type="dxa" w:w="3600"/>
          </w:tcPr>
          <w:p>
            <w:r>
              <w:t>WAC 296-155-020</w:t>
            </w:r>
          </w:p>
        </w:tc>
        <w:tc>
          <w:tcPr>
            <w:tcW w:type="dxa" w:w="6480"/>
          </w:tcPr>
          <w:p>
            <w:r>
              <w:t>Housekeeping</w:t>
            </w:r>
          </w:p>
        </w:tc>
      </w:tr>
      <w:tr>
        <w:tc>
          <w:tcPr>
            <w:tcW w:type="dxa" w:w="2160"/>
          </w:tcPr>
          <w:p>
            <w:r>
              <w:t>WISHA</w:t>
            </w:r>
          </w:p>
        </w:tc>
        <w:tc>
          <w:tcPr>
            <w:tcW w:type="dxa" w:w="3600"/>
          </w:tcPr>
          <w:p>
            <w:r>
              <w:t>WAC 296-155-335</w:t>
            </w:r>
          </w:p>
        </w:tc>
        <w:tc>
          <w:tcPr>
            <w:tcW w:type="dxa" w:w="6480"/>
          </w:tcPr>
          <w:p>
            <w:r>
              <w:t>Disposal of Waste Materials</w:t>
            </w:r>
          </w:p>
        </w:tc>
      </w:tr>
      <w:tr>
        <w:tc>
          <w:tcPr>
            <w:tcW w:type="dxa" w:w="2160"/>
          </w:tcPr>
          <w:p>
            <w:r>
              <w:t>AGC</w:t>
            </w:r>
          </w:p>
        </w:tc>
        <w:tc>
          <w:tcPr>
            <w:tcW w:type="dxa" w:w="3600"/>
          </w:tcPr>
          <w:p>
            <w:r/>
          </w:p>
        </w:tc>
        <w:tc>
          <w:tcPr>
            <w:tcW w:type="dxa" w:w="6480"/>
          </w:tcPr>
          <w:p>
            <w:r>
              <w:t>Jobsite Safety Handbook Housekeeping</w:t>
            </w:r>
          </w:p>
        </w:tc>
      </w:tr>
    </w:tbl>
    <w:p>
      <w:pPr>
        <w:pStyle w:val="Heading1"/>
      </w:pPr>
      <w:r>
        <w:t>2. Purpose</w:t>
      </w:r>
    </w:p>
    <w:p>
      <w:r>
        <w:t>The purpose of this Housekeeping policy is to establish clear guidelines for maintaining clean, orderly, and safe work environments across all MH Construction job sites. This policy aims to prevent accidents, minimize health hazards, and ensure compliance with regulatory standards by eliminating clutter, spills, and other unsafe conditions.</w:t>
      </w:r>
    </w:p>
    <w:p>
      <w:pPr>
        <w:pStyle w:val="Heading1"/>
      </w:pPr>
      <w:r>
        <w:t>3. Scope</w:t>
      </w:r>
    </w:p>
    <w:p>
      <w:r>
        <w:t>This policy applies to all MH Construction employees, subcontractors, and visitors present on any MH Construction job site. Adherence to these guidelines is mandatory to ensure a consistent standard of safety and operational efficiency.</w:t>
      </w:r>
    </w:p>
    <w:p>
      <w:pPr>
        <w:pStyle w:val="Heading1"/>
      </w:pPr>
      <w:r>
        <w:t>4. Definitions</w:t>
      </w:r>
    </w:p>
    <w:tbl>
      <w:tblPr>
        <w:tblW w:type="auto" w:w="0"/>
        <w:tblLayout w:type="autofit"/>
        <w:tblLook w:firstColumn="1" w:firstRow="1" w:lastColumn="0" w:lastRow="0" w:noHBand="0" w:noVBand="1" w:val="04A0"/>
      </w:tblPr>
      <w:tblGrid>
        <w:gridCol w:w="2880"/>
        <w:gridCol w:w="9360"/>
      </w:tblGrid>
      <w:tr>
        <w:tc>
          <w:tcPr>
            <w:tcW w:type="dxa" w:w="4500"/>
            <w:vAlign w:val="center"/>
          </w:tcPr>
          <w:p>
            <w:r>
              <w:rPr>
                <w:rFonts w:ascii="Arial" w:hAnsi="Arial"/>
                <w:b/>
                <w:sz w:val="22"/>
              </w:rPr>
              <w:t>Term</w:t>
            </w:r>
          </w:p>
        </w:tc>
        <w:tc>
          <w:tcPr>
            <w:tcW w:type="dxa" w:w="4500"/>
            <w:vAlign w:val="center"/>
          </w:tcPr>
          <w:p>
            <w:r>
              <w:rPr>
                <w:rFonts w:ascii="Arial" w:hAnsi="Arial"/>
                <w:b/>
                <w:sz w:val="22"/>
              </w:rPr>
              <w:t>Definition</w:t>
            </w:r>
          </w:p>
        </w:tc>
      </w:tr>
      <w:tr>
        <w:tc>
          <w:tcPr>
            <w:tcW w:type="dxa" w:w="2880"/>
          </w:tcPr>
          <w:p>
            <w:r>
              <w:t>Housekeeping</w:t>
            </w:r>
          </w:p>
        </w:tc>
        <w:tc>
          <w:tcPr>
            <w:tcW w:type="dxa" w:w="9360"/>
          </w:tcPr>
          <w:p>
            <w:r>
              <w:t>The systematic maintenance of order and cleanliness in a workplace.</w:t>
            </w:r>
          </w:p>
        </w:tc>
      </w:tr>
      <w:tr>
        <w:tc>
          <w:tcPr>
            <w:tcW w:type="dxa" w:w="2880"/>
          </w:tcPr>
          <w:p>
            <w:r>
              <w:t>Debris</w:t>
            </w:r>
          </w:p>
        </w:tc>
        <w:tc>
          <w:tcPr>
            <w:tcW w:type="dxa" w:w="9360"/>
          </w:tcPr>
          <w:p>
            <w:r>
              <w:t>Scattered pieces of waste or remains, typically found on construction sites.</w:t>
            </w:r>
          </w:p>
        </w:tc>
      </w:tr>
      <w:tr>
        <w:tc>
          <w:tcPr>
            <w:tcW w:type="dxa" w:w="2880"/>
          </w:tcPr>
          <w:p>
            <w:r>
              <w:t>Work Area</w:t>
            </w:r>
          </w:p>
        </w:tc>
        <w:tc>
          <w:tcPr>
            <w:tcW w:type="dxa" w:w="9360"/>
          </w:tcPr>
          <w:p>
            <w:r>
              <w:t>Any location where work is being performed or materials are stored.</w:t>
            </w:r>
          </w:p>
        </w:tc>
      </w:tr>
      <w:tr>
        <w:tc>
          <w:tcPr>
            <w:tcW w:type="dxa" w:w="2880"/>
          </w:tcPr>
          <w:p>
            <w:r>
              <w:t>Hazard</w:t>
            </w:r>
          </w:p>
        </w:tc>
        <w:tc>
          <w:tcPr>
            <w:tcW w:type="dxa" w:w="9360"/>
          </w:tcPr>
          <w:p>
            <w:r>
              <w:t>A source of potential harm or adverse health effect.</w:t>
            </w:r>
          </w:p>
        </w:tc>
      </w:tr>
      <w:tr>
        <w:tc>
          <w:tcPr>
            <w:tcW w:type="dxa" w:w="2880"/>
          </w:tcPr>
          <w:p>
            <w:r>
              <w:t>PPE</w:t>
            </w:r>
          </w:p>
        </w:tc>
        <w:tc>
          <w:tcPr>
            <w:tcW w:type="dxa" w:w="9360"/>
          </w:tcPr>
          <w:p>
            <w:r>
              <w:t>Personal Protective Equipment, such as gloves, safety glasses, and hard hats.</w:t>
            </w:r>
          </w:p>
        </w:tc>
      </w:tr>
    </w:tbl>
    <w:p>
      <w:pPr>
        <w:pStyle w:val="Heading1"/>
      </w:pPr>
      <w:r>
        <w:t>5. Responsibilities</w:t>
      </w:r>
    </w:p>
    <w:p>
      <w:r>
        <w:t>The following responsibilities are assigned to ensure effective housekeeping practices:</w:t>
      </w:r>
    </w:p>
    <w:p>
      <w:pPr>
        <w:pStyle w:val="Heading2"/>
      </w:pPr>
      <w:r>
        <w:t>5.1 Company/Management Responsibilities</w:t>
      </w:r>
    </w:p>
    <w:p>
      <w:pPr>
        <w:pStyle w:val="ListBullet"/>
      </w:pPr>
      <w:r>
        <w:t>Provide necessary resources (e.g., waste receptacles, cleaning supplies, adequate disposal facilities).</w:t>
      </w:r>
    </w:p>
    <w:p>
      <w:pPr>
        <w:pStyle w:val="ListBullet"/>
      </w:pPr>
      <w:r>
        <w:t>Establish and communicate clear housekeeping policies and procedures.</w:t>
      </w:r>
    </w:p>
    <w:p>
      <w:pPr>
        <w:pStyle w:val="ListBullet"/>
      </w:pPr>
      <w:r>
        <w:t>Ensure regular inspections and audits of job sites.</w:t>
      </w:r>
    </w:p>
    <w:p>
      <w:pPr>
        <w:pStyle w:val="Heading2"/>
      </w:pPr>
      <w:r>
        <w:t>5.2 Supervisor/Foreman Responsibilities</w:t>
      </w:r>
    </w:p>
    <w:p>
      <w:pPr>
        <w:pStyle w:val="ListBullet"/>
      </w:pPr>
      <w:r>
        <w:t>Enforce housekeeping standards daily.</w:t>
      </w:r>
    </w:p>
    <w:p>
      <w:pPr>
        <w:pStyle w:val="ListBullet"/>
      </w:pPr>
      <w:r>
        <w:t>Conduct regular visual inspections of work areas.</w:t>
      </w:r>
    </w:p>
    <w:p>
      <w:pPr>
        <w:pStyle w:val="ListBullet"/>
      </w:pPr>
      <w:r>
        <w:t>Ensure proper disposal of waste materials (Per WAC 296-155-335).</w:t>
      </w:r>
    </w:p>
    <w:p>
      <w:pPr>
        <w:pStyle w:val="ListBullet"/>
      </w:pPr>
      <w:r>
        <w:t>Address and rectify housekeeping deficiencies promptly.</w:t>
      </w:r>
    </w:p>
    <w:p>
      <w:pPr>
        <w:pStyle w:val="Heading2"/>
      </w:pPr>
      <w:r>
        <w:t>5.3 Employee Responsibilities</w:t>
      </w:r>
    </w:p>
    <w:p>
      <w:pPr>
        <w:pStyle w:val="ListBullet"/>
      </w:pPr>
      <w:r>
        <w:t>Maintain a clean and orderly personal work area.</w:t>
      </w:r>
    </w:p>
    <w:p>
      <w:pPr>
        <w:pStyle w:val="ListBullet"/>
      </w:pPr>
      <w:r>
        <w:t>Dispose of waste and debris in designated receptacles.</w:t>
      </w:r>
    </w:p>
    <w:p>
      <w:pPr>
        <w:pStyle w:val="ListBullet"/>
      </w:pPr>
      <w:r>
        <w:t>Report any unsafe housekeeping conditions to their supervisor.</w:t>
      </w:r>
    </w:p>
    <w:p>
      <w:pPr>
        <w:pStyle w:val="ListBullet"/>
      </w:pPr>
      <w:r>
        <w:t>Participate in general site clean-up efforts.</w:t>
      </w:r>
    </w:p>
    <w:p>
      <w:pPr>
        <w:pStyle w:val="Heading2"/>
      </w:pPr>
      <w:r>
        <w:t>5.4 Subcontractor Responsibilities</w:t>
      </w:r>
    </w:p>
    <w:p>
      <w:pPr>
        <w:pStyle w:val="ListBullet"/>
      </w:pPr>
      <w:r>
        <w:t>Adhere to MH Construction’s housekeeping policies.</w:t>
      </w:r>
    </w:p>
    <w:p>
      <w:pPr>
        <w:pStyle w:val="ListBullet"/>
      </w:pPr>
      <w:r>
        <w:t>Maintain cleanliness within their assigned work zones.</w:t>
      </w:r>
    </w:p>
    <w:p>
      <w:pPr>
        <w:pStyle w:val="ListBullet"/>
      </w:pPr>
      <w:r>
        <w:t>Remove their own waste and debris or utilize designated site facilities.</w:t>
      </w:r>
    </w:p>
    <w:p>
      <w:pPr>
        <w:pStyle w:val="Heading1"/>
      </w:pPr>
      <w:r>
        <w:t>6. Procedures / Requirements</w:t>
      </w:r>
    </w:p>
    <w:p>
      <w:pPr>
        <w:pStyle w:val="Heading2"/>
      </w:pPr>
      <w:r>
        <w:t>6.1 General Housekeeping (Per 29 CFR 1926.25 and WAC 296-155-020)</w:t>
      </w:r>
    </w:p>
    <w:p>
      <w:r>
        <w:t>1. All places of employment, passageways, storerooms, and service rooms shall be kept clean and orderly.</w:t>
      </w:r>
    </w:p>
    <w:p>
      <w:r>
        <w:t>2. The floor of every workroom shall be maintained in a clean and, so far as possible, dry condition. Where wet processes are used, drainage shall be maintained, and false floors, platforms, mats, or other dry standing places shall be provided where practicable.</w:t>
      </w:r>
    </w:p>
    <w:p>
      <w:r>
        <w:t>3. To facilitate cleaning, every floor, working place, and passageway shall be kept free from protruding nails, splinters, holes, or loose boards.</w:t>
      </w:r>
    </w:p>
    <w:p>
      <w:r>
        <w:t>4. Combustible scrap and debris shall be removed at regular intervals.</w:t>
      </w:r>
    </w:p>
    <w:p>
      <w:pPr>
        <w:pStyle w:val="Heading2"/>
      </w:pPr>
      <w:r>
        <w:t>6.2 Waste Material Disposal (Per WAC 296-155-335)</w:t>
      </w:r>
    </w:p>
    <w:p>
      <w:r>
        <w:t>1. Debris and waste materials shall be removed from work areas frequently and regularly.</w:t>
      </w:r>
    </w:p>
    <w:p>
      <w:r>
        <w:t>2. All waste shall be disposed of in designated containers. Containers used for garbage and other oily, flammable, or hazardous wastes shall be equipped with covers.</w:t>
      </w:r>
    </w:p>
    <w:p>
      <w:r>
        <w:t>3. Chutes, whenever used, shall be enclosed. The area where debris is dropped shall be barricaded, and signs shall be posted warning of the hazard.</w:t>
      </w:r>
    </w:p>
    <w:p>
      <w:r>
        <w:t>4. Open fires and burning of waste materials are strictly prohibited on all job sites.</w:t>
      </w:r>
    </w:p>
    <w:p>
      <w:pPr>
        <w:pStyle w:val="Heading2"/>
      </w:pPr>
      <w:r>
        <w:t>6.3 Material Storage</w:t>
      </w:r>
    </w:p>
    <w:p>
      <w:r>
        <w:t>1. Materials shall be stacked, stored, and secured in a manner that prevents sliding, falling, or collapse.</w:t>
      </w:r>
    </w:p>
    <w:p>
      <w:r>
        <w:t>2. Aisles and passageways shall be kept clear to allow for the free and safe movement of employees and equipment.</w:t>
      </w:r>
    </w:p>
    <w:p>
      <w:r>
        <w:t>3. Flammable and combustible materials shall be stored in approved containers and designated areas, away from ignition sources.</w:t>
      </w:r>
    </w:p>
    <w:p>
      <w:pPr>
        <w:pStyle w:val="Heading2"/>
      </w:pPr>
      <w:r>
        <w:t>6.4 Spill Prevention and Control</w:t>
      </w:r>
    </w:p>
    <w:p>
      <w:r>
        <w:t>1. Spills of oil, grease, paint, or other liquids shall be cleaned up immediately to prevent slips and falls.</w:t>
      </w:r>
    </w:p>
    <w:p>
      <w:r>
        <w:t>2. Appropriate absorbent materials shall be readily available on site for spill containment and cleanup.</w:t>
      </w:r>
    </w:p>
    <w:p>
      <w:r>
        <w:t>3. Contaminated absorbent materials shall be disposed of according to environmental regulations.</w:t>
      </w:r>
    </w:p>
    <w:p>
      <w:pPr>
        <w:pStyle w:val="Heading2"/>
      </w:pPr>
      <w:r>
        <w:t>6.5 Tool and Equipment Management</w:t>
      </w:r>
    </w:p>
    <w:p>
      <w:r>
        <w:t>1. Tools and equipment shall be returned to their designated storage areas after use.</w:t>
      </w:r>
    </w:p>
    <w:p>
      <w:r>
        <w:t>2. Damaged or defective tools shall be tagged out of service and reported for repair or replacement.</w:t>
      </w:r>
    </w:p>
    <w:p>
      <w:r>
        <w:t>3. Cords, hoses, and cables shall be coiled or routed to prevent tripping hazards.</w:t>
      </w:r>
    </w:p>
    <w:p>
      <w:pPr>
        <w:pStyle w:val="Heading2"/>
      </w:pPr>
      <w:r>
        <w:t>6.6 Site Access and Egress</w:t>
      </w:r>
    </w:p>
    <w:p>
      <w:r>
        <w:t>1. Access roads, walkways, and stairs shall be kept clear of obstructions at all times.</w:t>
      </w:r>
    </w:p>
    <w:p>
      <w:r>
        <w:t>2. Emergency exits and fire fighting equipment shall not be blocked.</w:t>
      </w:r>
    </w:p>
    <w:p>
      <w:r>
        <w:t>3. Adequate lighting shall be provided in all work areas, especially in passageways and stairwells.</w:t>
      </w:r>
    </w:p>
    <w:p>
      <w:pPr>
        <w:pStyle w:val="Heading1"/>
      </w:pPr>
      <w:r>
        <w:t>7. Training Requirements</w:t>
      </w:r>
    </w:p>
    <w:p>
      <w:r>
        <w:t>All employees and supervisors shall receive initial training on the importance of good housekeeping practices, spill response procedures, and proper waste disposal methods. Training shall be documented and refreshed annually or as needed. Specific training on hazardous waste handling will be provided to relevant personnel.</w:t>
      </w:r>
    </w:p>
    <w:p>
      <w:pPr>
        <w:pStyle w:val="Heading1"/>
      </w:pPr>
      <w:r>
        <w:t>8. Inspection and Enforcement</w:t>
      </w:r>
    </w:p>
    <w:p>
      <w:r>
        <w:t>Supervisors are responsible for daily informal inspections of their work areas. Formal, documented inspections will be conducted weekly by the Safety Officer or designated personnel. Any identified deficiencies will be recorded, and corrective actions will be assigned with deadlines. Non-compliance will be addressed through the company’s disciplinary policy.</w:t>
      </w:r>
    </w:p>
    <w:p>
      <w:pPr>
        <w:pStyle w:val="Heading1"/>
      </w:pPr>
      <w:r>
        <w:t>9. Recordkeeping</w:t>
      </w:r>
    </w:p>
    <w:p>
      <w:r>
        <w:t>Records of housekeeping inspections, corrective actions, and employee training shall be maintained by the Safety Officer for a minimum of three years. These records will be available for review by regulatory agencies upon request.</w:t>
      </w:r>
    </w:p>
    <w:p>
      <w:pPr>
        <w:pStyle w:val="Heading1"/>
      </w:pPr>
      <w:r>
        <w:t>10. Violation Consequences</w:t>
      </w:r>
    </w:p>
    <w:p>
      <w:r>
        <w:t>Failure to comply with this Housekeeping policy may result in disciplinary action, up to and including termination of employment or contract. Violations will be addressed through a progressive disciplinary process, considering the severity and frequency of the infraction. Immediate action will be taken for conditions posing imminent danger.</w:t>
      </w:r>
    </w:p>
    <w:p>
      <w:pPr>
        <w:pStyle w:val="Heading1"/>
      </w:pPr>
      <w:r>
        <w:t>11. References</w:t>
      </w:r>
    </w:p>
    <w:p>
      <w:pPr>
        <w:pStyle w:val="ListBullet"/>
      </w:pPr>
      <w:r>
        <w:t>OSHA: 29 CFR 1926.25 Housekeeping</w:t>
      </w:r>
    </w:p>
    <w:p>
      <w:pPr>
        <w:pStyle w:val="ListBullet"/>
      </w:pPr>
      <w:r>
        <w:t>WISHA: WAC 296-155-020 Housekeeping</w:t>
      </w:r>
    </w:p>
    <w:p>
      <w:pPr>
        <w:pStyle w:val="ListBullet"/>
      </w:pPr>
      <w:r>
        <w:t>WISHA: WAC 296-155-335 Disposal of Waste Materials</w:t>
      </w:r>
    </w:p>
    <w:p>
      <w:pPr>
        <w:pStyle w:val="ListBullet"/>
      </w:pPr>
      <w:r>
        <w:t>AGC: Jobsite Safety Handbook Housekeeping</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30ABECD-3262-487E-B6F3-33E67AFE1A84}"/>
</file>

<file path=customXml/itemProps3.xml><?xml version="1.0" encoding="utf-8"?>
<ds:datastoreItem xmlns:ds="http://schemas.openxmlformats.org/officeDocument/2006/customXml" ds:itemID="{3E0DC8AD-3C03-4A66-ADB6-757F28BA2682}"/>
</file>

<file path=customXml/itemProps4.xml><?xml version="1.0" encoding="utf-8"?>
<ds:datastoreItem xmlns:ds="http://schemas.openxmlformats.org/officeDocument/2006/customXml" ds:itemID="{773E0454-EA69-411B-935B-19F3CC963F9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