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Override PartName="/word/numbering.xml" ContentType="application/vnd.openxmlformats-officedocument.wordprocessingml.numbering+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MH CONSTRUCTION, INC.</w:t>
      </w:r>
    </w:p>
    <w:p>
      <w:pPr>
        <w:jc w:val="center"/>
      </w:pPr>
      <w:r>
        <w:t>Industrial Safety &amp; Health Program (MISH)</w:t>
      </w:r>
    </w:p>
    <w:p>
      <w:pPr>
        <w:jc w:val="center"/>
      </w:pPr>
      <w:r>
        <w:t>MISH 43 | General Waste Management</w:t>
      </w:r>
    </w:p>
    <w:p>
      <w:pPr>
        <w:jc w:val="center"/>
      </w:pPr>
      <w:r>
        <w:t>Revision 3 | Effective: 04/07/2026 | Safety Officer: Matt Ramsey</w:t>
      </w:r>
    </w:p>
    <w:p>
      <w:pPr>
        <w:pBdr>
          <w:bottom w:val="single" w:sz="6" w:space="1" w:color="auto"/>
        </w:pBdr>
      </w:pPr>
    </w:p>
    <w:p>
      <w:pPr>
        <w:pStyle w:val="MISHHeading1"/>
      </w:pPr>
      <w:r>
        <w:t>REGULATORY CITATIONS</w:t>
      </w:r>
    </w:p>
    <w:p>
      <w:pPr/>
      <w:r>
        <w:t>A clearly labeled "Regulatory Authority" section</w:t>
      </w:r>
    </w:p>
    <w:tbl>
      <w:tblPr>
        <w:tblStyle w:val="TableGrid"/>
        <w:tblW w:type="auto" w:w="0"/>
        <w:tblLook w:firstColumn="1" w:firstRow="1" w:lastColumn="0" w:lastRow="0" w:noHBand="0" w:noVBand="1" w:val="04A0"/>
      </w:tblPr>
      <w:tblGrid>
        <w:gridCol w:w="3000"/>
        <w:gridCol w:w="3000"/>
        <w:gridCol w:w="3000"/>
      </w:tblGrid>
      <w:tr>
        <w:tc>
          <w:tcPr>
            <w:tcW w:type="dxa" w:w="3000"/>
          </w:tcPr>
          <w:p>
            <w:r>
              <w:t>Authority</w:t>
            </w:r>
          </w:p>
        </w:tc>
        <w:tc>
          <w:tcPr>
            <w:tcW w:type="dxa" w:w="3000"/>
          </w:tcPr>
          <w:p>
            <w:r>
              <w:t>Citation</w:t>
            </w:r>
          </w:p>
        </w:tc>
        <w:tc>
          <w:tcPr>
            <w:tcW w:type="dxa" w:w="3000"/>
          </w:tcPr>
          <w:p>
            <w:r>
              <w:t>Title/Description</w:t>
            </w:r>
          </w:p>
        </w:tc>
      </w:tr>
      <w:tr>
        <w:tc>
          <w:tcPr>
            <w:tcW w:type="dxa" w:w="3000"/>
          </w:tcPr>
          <w:p>
            <w:r>
              <w:t>OSHA</w:t>
            </w:r>
          </w:p>
        </w:tc>
        <w:tc>
          <w:tcPr>
            <w:tcW w:type="dxa" w:w="3000"/>
          </w:tcPr>
          <w:p>
            <w:r>
              <w:t>29 CFR</w:t>
            </w:r>
          </w:p>
        </w:tc>
        <w:tc>
          <w:tcPr>
            <w:tcW w:type="dxa" w:w="3000"/>
          </w:tcPr>
          <w:p>
            <w:r>
              <w:t>1926.25 Housekeeping Waste Disposal</w:t>
            </w:r>
          </w:p>
        </w:tc>
      </w:tr>
      <w:tr>
        <w:tc>
          <w:tcPr>
            <w:tcW w:type="dxa" w:w="3000"/>
          </w:tcPr>
          <w:p>
            <w:r>
              <w:t>OSHA</w:t>
            </w:r>
          </w:p>
        </w:tc>
        <w:tc>
          <w:tcPr>
            <w:tcW w:type="dxa" w:w="3000"/>
          </w:tcPr>
          <w:p>
            <w:r>
              <w:t>40 CFR</w:t>
            </w:r>
          </w:p>
        </w:tc>
        <w:tc>
          <w:tcPr>
            <w:tcW w:type="dxa" w:w="3000"/>
          </w:tcPr>
          <w:p>
            <w:r>
              <w:t>Parts 260-262 EPA RCRA Hazardous Waste</w:t>
            </w:r>
          </w:p>
        </w:tc>
      </w:tr>
      <w:tr>
        <w:tc>
          <w:tcPr>
            <w:tcW w:type="dxa" w:w="3000"/>
          </w:tcPr>
          <w:p>
            <w:r>
              <w:t>WISHA</w:t>
            </w:r>
          </w:p>
        </w:tc>
        <w:tc>
          <w:tcPr>
            <w:tcW w:type="dxa" w:w="3000"/>
          </w:tcPr>
          <w:p>
            <w:r>
              <w:t>WAC 296-155-020</w:t>
            </w:r>
          </w:p>
        </w:tc>
        <w:tc>
          <w:tcPr>
            <w:tcW w:type="dxa" w:w="3000"/>
          </w:tcPr>
          <w:p>
            <w:r>
              <w:t>Housekeeping</w:t>
            </w:r>
          </w:p>
        </w:tc>
      </w:tr>
      <w:tr>
        <w:tc>
          <w:tcPr>
            <w:tcW w:type="dxa" w:w="3000"/>
          </w:tcPr>
          <w:p>
            <w:r>
              <w:t>WISHA</w:t>
            </w:r>
          </w:p>
        </w:tc>
        <w:tc>
          <w:tcPr>
            <w:tcW w:type="dxa" w:w="3000"/>
          </w:tcPr>
          <w:p>
            <w:r>
              <w:t>WAC 296-155-335</w:t>
            </w:r>
          </w:p>
        </w:tc>
        <w:tc>
          <w:tcPr>
            <w:tcW w:type="dxa" w:w="3000"/>
          </w:tcPr>
          <w:p>
            <w:r>
              <w:t>Disposal of Waste Materials</w:t>
            </w:r>
          </w:p>
        </w:tc>
      </w:tr>
      <w:tr>
        <w:tc>
          <w:tcPr>
            <w:tcW w:type="dxa" w:w="3000"/>
          </w:tcPr>
          <w:p>
            <w:r>
              <w:t>WISHA</w:t>
            </w:r>
          </w:p>
        </w:tc>
        <w:tc>
          <w:tcPr>
            <w:tcW w:type="dxa" w:w="3000"/>
          </w:tcPr>
          <w:p>
            <w:r>
              <w:t>WAC 173-303</w:t>
            </w:r>
          </w:p>
        </w:tc>
        <w:tc>
          <w:tcPr>
            <w:tcW w:type="dxa" w:w="3000"/>
          </w:tcPr>
          <w:p>
            <w:r>
              <w:t>Washington Dangerous Waste Regulations Ecology</w:t>
            </w:r>
          </w:p>
        </w:tc>
      </w:tr>
      <w:tr>
        <w:tc>
          <w:tcPr>
            <w:tcW w:type="dxa" w:w="3000"/>
          </w:tcPr>
          <w:p>
            <w:r>
              <w:t>AGC</w:t>
            </w:r>
          </w:p>
        </w:tc>
        <w:tc>
          <w:tcPr>
            <w:tcW w:type="dxa" w:w="3000"/>
          </w:tcPr>
          <w:p>
            <w:r>
              <w:t>Safety and Health Manual Ch. 3 Site Management</w:t>
            </w:r>
          </w:p>
        </w:tc>
        <w:tc>
          <w:tcPr>
            <w:tcW w:type="dxa" w:w="3000"/>
          </w:tcPr>
          <w:p>
            <w:r/>
          </w:p>
        </w:tc>
      </w:tr>
    </w:tbl>
    <w:p>
      <w:pPr>
        <w:pStyle w:val="MISHHeading1"/>
      </w:pPr>
      <w:r>
        <w:t>PURPOSE</w:t>
      </w:r>
    </w:p>
    <w:p>
      <w:pPr/>
      <w:r>
        <w:t>This policy establishes guidelines for the proper management and disposal of waste materials generated at MH Construction job sites. It aims to prevent environmental contamination, ensure worker safety, and maintain compliance with all applicable federal, state, and local regulations regarding waste handling and disposal.</w:t>
      </w:r>
    </w:p>
    <w:p>
      <w:pPr>
        <w:pStyle w:val="MISHHeading1"/>
      </w:pPr>
      <w:r>
        <w:t>SCOPE</w:t>
      </w:r>
    </w:p>
    <w:p>
      <w:pPr/>
      <w:r>
        <w:t>This policy applies to all MH Construction employees, subcontractors, and visitors present on MH Construction job sites. Adherence to these procedures is mandatory to ensure a safe and compliant work environment.</w:t>
      </w:r>
    </w:p>
    <w:p>
      <w:pPr>
        <w:pStyle w:val="MISHHeading1"/>
      </w:pPr>
      <w:r>
        <w:t>DEFINITIONS</w:t>
      </w:r>
    </w:p>
    <w:tbl>
      <w:tblPr>
        <w:tblStyle w:val="TableGrid"/>
        <w:tblW w:type="auto" w:w="0"/>
        <w:tblLook w:firstColumn="1" w:firstRow="1" w:lastColumn="0" w:lastRow="0" w:noHBand="0" w:noVBand="1" w:val="04A0"/>
      </w:tblPr>
      <w:tblGrid>
        <w:gridCol w:w="4500"/>
        <w:gridCol w:w="4500"/>
      </w:tblGrid>
      <w:tr>
        <w:tc>
          <w:tcPr>
            <w:tcW w:type="dxa" w:w="4500"/>
          </w:tcPr>
          <w:p>
            <w:r>
              <w:t>Term</w:t>
            </w:r>
          </w:p>
        </w:tc>
        <w:tc>
          <w:tcPr>
            <w:tcW w:type="dxa" w:w="4500"/>
          </w:tcPr>
          <w:p>
            <w:r>
              <w:t>Definition</w:t>
            </w:r>
          </w:p>
        </w:tc>
      </w:tr>
      <w:tr>
        <w:tc>
          <w:tcPr>
            <w:tcW w:type="dxa" w:w="4500"/>
          </w:tcPr>
          <w:p>
            <w:r>
              <w:t>Hazardous Waste</w:t>
            </w:r>
          </w:p>
        </w:tc>
        <w:tc>
          <w:tcPr>
            <w:tcW w:type="dxa" w:w="4500"/>
          </w:tcPr>
          <w:p>
            <w:r>
              <w:t>Waste materials that pose a substantial or potential hazard to human health or the environment when improperly managed. Defined by 40 CFR Parts 260-262 and WAC 173-303.</w:t>
            </w:r>
          </w:p>
        </w:tc>
      </w:tr>
      <w:tr>
        <w:tc>
          <w:tcPr>
            <w:tcW w:type="dxa" w:w="4500"/>
          </w:tcPr>
          <w:p>
            <w:r>
              <w:t>Non-Hazardous Waste</w:t>
            </w:r>
          </w:p>
        </w:tc>
        <w:tc>
          <w:tcPr>
            <w:tcW w:type="dxa" w:w="4500"/>
          </w:tcPr>
          <w:p>
            <w:r>
              <w:t>Waste materials that do not meet the definition of hazardous waste, including general construction debris, office waste, and recyclable materials.</w:t>
            </w:r>
          </w:p>
        </w:tc>
      </w:tr>
      <w:tr>
        <w:tc>
          <w:tcPr>
            <w:tcW w:type="dxa" w:w="4500"/>
          </w:tcPr>
          <w:p>
            <w:r>
              <w:t>Waste Stream</w:t>
            </w:r>
          </w:p>
        </w:tc>
        <w:tc>
          <w:tcPr>
            <w:tcW w:type="dxa" w:w="4500"/>
          </w:tcPr>
          <w:p>
            <w:r>
              <w:t>The complete flow of waste from its source through generation, collection, transportation, processing, and disposal.</w:t>
            </w:r>
          </w:p>
        </w:tc>
      </w:tr>
      <w:tr>
        <w:tc>
          <w:tcPr>
            <w:tcW w:type="dxa" w:w="4500"/>
          </w:tcPr>
          <w:p>
            <w:r>
              <w:t>Housekeeping</w:t>
            </w:r>
          </w:p>
        </w:tc>
        <w:tc>
          <w:tcPr>
            <w:tcW w:type="dxa" w:w="4500"/>
          </w:tcPr>
          <w:p>
            <w:r>
              <w:t>Activities involved in maintaining a clean, orderly, and safe work environment, including the prompt removal of waste and debris.</w:t>
            </w:r>
          </w:p>
        </w:tc>
      </w:tr>
      <w:tr>
        <w:tc>
          <w:tcPr>
            <w:tcW w:type="dxa" w:w="4500"/>
          </w:tcPr>
          <w:p>
            <w:r>
              <w:t>Disposal</w:t>
            </w:r>
          </w:p>
        </w:tc>
        <w:tc>
          <w:tcPr>
            <w:tcW w:type="dxa" w:w="4500"/>
          </w:tcPr>
          <w:p>
            <w:r>
              <w:t>The final placement or destruction of waste materials, typically in a landfill, incinerator, or recycling facility.</w:t>
            </w:r>
          </w:p>
        </w:tc>
      </w:tr>
    </w:tbl>
    <w:p>
      <w:pPr>
        <w:pStyle w:val="MISHHeading1"/>
      </w:pPr>
      <w:r>
        <w:t>RESPONSIBILITIES</w:t>
      </w:r>
    </w:p>
    <w:p>
      <w:pPr>
        <w:pStyle w:val="MISHHeading2"/>
      </w:pPr>
      <w:r>
        <w:t>Company/Management Responsibilities</w:t>
      </w:r>
    </w:p>
    <w:p>
      <w:pPr/>
      <w:r>
        <w:t>• Establish and maintain a comprehensive waste management program.</w:t>
        <w:br/>
        <w:t>• Provide necessary resources, training, and equipment for safe waste handling.</w:t>
        <w:br/>
        <w:t>• Ensure compliance with all federal, state, and local waste disposal regulations.</w:t>
      </w:r>
    </w:p>
    <w:p>
      <w:pPr>
        <w:pStyle w:val="MISHHeading2"/>
      </w:pPr>
      <w:r>
        <w:t>Supervisor/Foreman Responsibilities</w:t>
      </w:r>
    </w:p>
    <w:p>
      <w:pPr/>
      <w:r>
        <w:t>• Implement and enforce waste management procedures on job sites.</w:t>
        <w:br/>
        <w:t>• Conduct regular inspections to ensure proper waste segregation and disposal.</w:t>
        <w:br/>
        <w:t>• Provide site-specific training and guidance to employees and subcontractors.</w:t>
      </w:r>
    </w:p>
    <w:p>
      <w:pPr>
        <w:pStyle w:val="MISHHeading2"/>
      </w:pPr>
      <w:r>
        <w:t>Employee Responsibilities</w:t>
      </w:r>
    </w:p>
    <w:p>
      <w:pPr/>
      <w:r>
        <w:t>• Adhere to all waste segregation and disposal procedures.</w:t>
        <w:br/>
        <w:t>• Report any unsafe waste conditions or practices to their supervisor.</w:t>
        <w:br/>
        <w:t>• Participate in waste management training as required.</w:t>
      </w:r>
    </w:p>
    <w:p>
      <w:pPr>
        <w:pStyle w:val="MISHHeading2"/>
      </w:pPr>
      <w:r>
        <w:t>Subcontractor Responsibilities</w:t>
      </w:r>
    </w:p>
    <w:p>
      <w:pPr/>
      <w:r>
        <w:t>• Comply with all MH Construction waste management policies and procedures.</w:t>
        <w:br/>
        <w:t>• Manage and dispose of their generated waste in accordance with project requirements and regulations.</w:t>
        <w:br/>
        <w:t>• Coordinate waste removal with MH Construction site management.</w:t>
      </w:r>
    </w:p>
    <w:p>
      <w:pPr>
        <w:pStyle w:val="MISHHeading1"/>
      </w:pPr>
      <w:r>
        <w:t>PROCEDURES / REQUIREMENTS</w:t>
      </w:r>
    </w:p>
    <w:p>
      <w:pPr>
        <w:pStyle w:val="MISHHeading2"/>
      </w:pPr>
      <w:r>
        <w:t>7.1 Waste Segregation</w:t>
      </w:r>
    </w:p>
    <w:p>
      <w:pPr/>
      <w:r>
        <w:t>1. All waste materials shall be segregated at the point of generation into designated containers for hazardous, non-hazardous, recyclable, and compostable materials.</w:t>
        <w:br/>
        <w:t>2. Clearly label all waste containers according to their contents. Per 29 CFR 1926.25(c), containers for waste shall be provided and maintained in a sanitary condition.</w:t>
        <w:br/>
        <w:t>3. Do not mix hazardous waste with non-hazardous waste. Refer to WAC 173-303 for Washington Dangerous Waste Regulations Ecology.</w:t>
      </w:r>
    </w:p>
    <w:p>
      <w:pPr>
        <w:pStyle w:val="MISHHeading2"/>
      </w:pPr>
      <w:r>
        <w:t>7.2 Hazardous Waste Management</w:t>
      </w:r>
    </w:p>
    <w:p>
      <w:pPr/>
      <w:r>
        <w:t>1. Identify and classify all hazardous waste in accordance with 40 CFR Parts 260-262 EPA RCRA Hazardous Waste and WAC 173-303.</w:t>
        <w:br/>
        <w:t>2. Store hazardous waste in appropriate, clearly marked containers in a secure area, away from ignition sources and incompatible materials.</w:t>
        <w:br/>
        <w:t>3. Ensure hazardous waste containers are kept closed except when adding or removing waste. Per 29 CFR 1926.25(a), debris shall be kept cleared from work areas, passageways, and stairs.</w:t>
      </w:r>
    </w:p>
    <w:p>
      <w:pPr>
        <w:pStyle w:val="MISHHeading2"/>
      </w:pPr>
      <w:r>
        <w:t>7.3 Non-Hazardous Waste Disposal</w:t>
      </w:r>
    </w:p>
    <w:p>
      <w:pPr/>
      <w:r>
        <w:t>1. Non-hazardous construction debris (e.g., wood, drywall, concrete) shall be collected in designated dumpsters or roll-off containers.</w:t>
        <w:br/>
        <w:t>2. General refuse (e.g., food waste, packaging) shall be placed in covered trash receptacles to prevent pest attraction and odor. Per WAC 296-155-020, all places of employment shall be kept clean and orderly.</w:t>
        <w:br/>
        <w:t>3. Ensure regular removal of non-hazardous waste from the job site to prevent accumulation and maintain clear egress. Per WAC 296-155-335, waste materials shall be disposed of in a manner that does not create a hazard.</w:t>
      </w:r>
    </w:p>
    <w:p>
      <w:pPr>
        <w:pStyle w:val="MISHHeading2"/>
      </w:pPr>
      <w:r>
        <w:t>7.4 Recycling Program</w:t>
      </w:r>
    </w:p>
    <w:p>
      <w:pPr/>
      <w:r>
        <w:t>1. Implement a recycling program for materials such as cardboard, plastics, metals, and clean wood scraps where feasible.</w:t>
        <w:br/>
        <w:t>2. Provide clearly marked recycling bins and educate personnel on proper recycling practices.</w:t>
        <w:br/>
        <w:t>3. Coordinate with local recycling facilities for collection and processing of recyclable materials.</w:t>
      </w:r>
    </w:p>
    <w:p>
      <w:pPr>
        <w:pStyle w:val="MISHHeading2"/>
      </w:pPr>
      <w:r>
        <w:t>7.5 Spill Prevention and Response</w:t>
      </w:r>
    </w:p>
    <w:p>
      <w:pPr/>
      <w:r>
        <w:t>1. Maintain spill kits on site, readily accessible for immediate response to spills of hazardous materials.</w:t>
        <w:br/>
        <w:t>2. Train personnel on spill prevention techniques and proper spill response procedures, including the use of personal protective equipment (PPE).</w:t>
        <w:br/>
        <w:t>3. Report all spills, regardless of size, to the site supervisor immediately for appropriate action and documentation.</w:t>
      </w:r>
    </w:p>
    <w:p>
      <w:pPr>
        <w:pStyle w:val="MISHHeading2"/>
      </w:pPr>
      <w:r>
        <w:t>7.6 Waste Transportation</w:t>
      </w:r>
    </w:p>
    <w:p>
      <w:pPr/>
      <w:r>
        <w:t>1. All waste transported off-site must be handled by licensed and approved waste haulers.</w:t>
        <w:br/>
        <w:t>2. Ensure proper manifests and documentation accompany hazardous waste shipments, as required by federal and state regulations.</w:t>
        <w:br/>
        <w:t>3. Verify that waste disposal facilities are properly permitted and authorized to receive the specific type of waste being transported.</w:t>
      </w:r>
    </w:p>
    <w:p>
      <w:pPr>
        <w:pStyle w:val="MISHHeading1"/>
      </w:pPr>
      <w:r>
        <w:t>TRAINING REQUIREMENTS</w:t>
      </w:r>
    </w:p>
    <w:p>
      <w:pPr/>
      <w:r>
        <w:t>• All employees involved in waste handling, segregation, or disposal must receive initial and annual refresher training on this policy and relevant regulatory requirements.</w:t>
        <w:br/>
        <w:t>• Training shall cover identification of hazardous waste, proper handling procedures, use of PPE, emergency response to spills, and recordkeeping.</w:t>
        <w:br/>
        <w:t>• Documentation of all training sessions, including attendance records and topics covered, shall be maintained by the Safety Officer. Per 29 CFR 1926.21(b)(2), employers shall instruct each employee in the recognition and avoidance of unsafe conditions and the regulations applicable to his work environment to control or eliminate any hazards or other exposure to illness or injury.</w:t>
      </w:r>
    </w:p>
    <w:p>
      <w:pPr>
        <w:pStyle w:val="MISHHeading1"/>
      </w:pPr>
      <w:r>
        <w:t>INSPECTION AND ENFORCEMENT</w:t>
      </w:r>
    </w:p>
    <w:p>
      <w:pPr/>
      <w:r>
        <w:t>• The Safety Officer or designated supervisor will conduct weekly inspections of all job sites to ensure compliance with waste management procedures.</w:t>
        <w:br/>
        <w:t>• Any non-compliance or deficiencies identified during inspections will be documented, and corrective actions will be implemented promptly.</w:t>
        <w:br/>
        <w:t>• Repeated non-compliance or serious violations may result in disciplinary action as outlined in the Violation Consequences section.</w:t>
      </w:r>
    </w:p>
    <w:p>
      <w:pPr>
        <w:pStyle w:val="MISHHeading1"/>
      </w:pPr>
      <w:r>
        <w:t>RECORDKEEPING</w:t>
      </w:r>
    </w:p>
    <w:p>
      <w:pPr/>
      <w:r>
        <w:t>• The Safety Officer is responsible for maintaining all records related to waste management, including training records, inspection reports, waste manifests, and disposal receipts.</w:t>
        <w:br/>
        <w:t>• Records shall be retained for a minimum of three years, or longer as required by specific regulatory citations (e.g., hazardous waste manifests).</w:t>
      </w:r>
    </w:p>
    <w:p>
      <w:pPr>
        <w:pStyle w:val="MISHHeading1"/>
      </w:pPr>
      <w:r>
        <w:t>VIOLATION CONSEQUENCES</w:t>
      </w:r>
    </w:p>
    <w:p>
      <w:pPr/>
      <w:r>
        <w:t>• Non-compliance with this policy may result in disciplinary action, ranging from verbal warnings to termination of employment or contract, depending on the severity and frequency of the violation.</w:t>
        <w:br/>
        <w:t>• Violations that lead to environmental damage or regulatory fines may result in more severe penalties, including legal action.</w:t>
      </w:r>
    </w:p>
    <w:p>
      <w:pPr>
        <w:pStyle w:val="MISHHeading1"/>
      </w:pPr>
      <w:r>
        <w:t>REFERENCES</w:t>
      </w:r>
    </w:p>
    <w:p>
      <w:pPr/>
      <w:r>
        <w:t>• OSHA: 29 CFR 1926.25 Housekeeping Waste Disposal; 40 CFR Parts 260-262 EPA RCRA Hazardous Waste</w:t>
        <w:br/>
        <w:t>• WISHA: WAC 296-155-020 Housekeeping; WAC 296-155-335 Disposal of Waste Materials; WAC 173-303 Washington Dangerous Waste Regulations Ecology</w:t>
        <w:br/>
        <w:t>• AGC: Safety and Health Manual Ch. 3 Site Management</w:t>
      </w:r>
    </w:p>
    <w:sectPr w:rsidR="00FC693F" w:rsidRPr="0006063C" w:rsidSect="00034616">
      <w:pgSz w:w="12240" w:h="15840"/>
      <w:pgMar w:top="1440" w:right="144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ISHHeading1">
    <w:name w:val="MISH Heading 1"/>
    <w:basedOn w:val="Heading1"/>
    <w:rPr>
      <w:rFonts w:ascii="Arial" w:hAnsi="Arial"/>
      <w:b/>
      <w:sz w:val="24"/>
    </w:rPr>
  </w:style>
  <w:style w:type="paragraph" w:customStyle="1" w:styleId="MISHHeading2">
    <w:name w:val="MISH Heading 2"/>
    <w:basedOn w:val="Heading2"/>
    <w:rPr>
      <w:rFonts w:ascii="Arial" w:hAnsi="Arial"/>
      <w:b/>
      <w:sz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6" Type="http://schemas.openxmlformats.org/officeDocument/2006/relationships/webSettings" Target="webSettings.xml"/><Relationship Id="rId1" Type="http://schemas.openxmlformats.org/officeDocument/2006/relationships/customXml" Target="../customXml/item1.xml"/><Relationship Id="rId11" Type="http://schemas.openxmlformats.org/officeDocument/2006/relationships/customXml" Target="../customXml/item4.xml"/><Relationship Id="rId5" Type="http://schemas.openxmlformats.org/officeDocument/2006/relationships/settings" Target="settings.xml"/><Relationship Id="rId10" Type="http://schemas.openxmlformats.org/officeDocument/2006/relationships/customXml" Target="../customXml/item3.xml"/><Relationship Id="rId4" Type="http://schemas.microsoft.com/office/2007/relationships/stylesWithEffects" Target="stylesWithEffects.xml"/><Relationship Id="rId9"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E19A8271A0D3C14E832065E558459821" ma:contentTypeVersion="21" ma:contentTypeDescription="Create a new document." ma:contentTypeScope="" ma:versionID="0934b2446988b38a2ccfdd43ee391908">
  <xsd:schema xmlns:xsd="http://www.w3.org/2001/XMLSchema" xmlns:xs="http://www.w3.org/2001/XMLSchema" xmlns:p="http://schemas.microsoft.com/office/2006/metadata/properties" xmlns:ns1="http://schemas.microsoft.com/sharepoint/v3" xmlns:ns2="d8afe817-5413-4e14-a718-c30ddd63b255" xmlns:ns3="a55680ac-93de-4e2e-b770-d6a625c34de1" targetNamespace="http://schemas.microsoft.com/office/2006/metadata/properties" ma:root="true" ma:fieldsID="b0e0396c7492a1b2086257e8312fd647" ns1:_="" ns2:_="" ns3:_="">
    <xsd:import namespace="http://schemas.microsoft.com/sharepoint/v3"/>
    <xsd:import namespace="d8afe817-5413-4e14-a718-c30ddd63b255"/>
    <xsd:import namespace="a55680ac-93de-4e2e-b770-d6a625c34de1"/>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Location" minOccurs="0"/>
                <xsd:element ref="ns3:SharedWithUsers" minOccurs="0"/>
                <xsd:element ref="ns3:SharedWithDetails" minOccurs="0"/>
                <xsd:element ref="ns2:MediaServiceOCR" minOccurs="0"/>
                <xsd:element ref="ns2:MediaServiceEventHashCode" minOccurs="0"/>
                <xsd:element ref="ns2:MediaServiceGenerationTime" minOccurs="0"/>
                <xsd:element ref="ns2:MediaServiceAutoKeyPoints" minOccurs="0"/>
                <xsd:element ref="ns2:MediaServiceKeyPoints" minOccurs="0"/>
                <xsd:element ref="ns1:_ip_UnifiedCompliancePolicyProperties" minOccurs="0"/>
                <xsd:element ref="ns1:_ip_UnifiedCompliancePolicyUIAction"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xsd:simpleType>
        <xsd:restriction base="dms:Note"/>
      </xsd:simpleType>
    </xsd:element>
    <xsd:element name="_ip_UnifiedCompliancePolicyUIAction" ma:index="21"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8afe817-5413-4e14-a718-c30ddd63b25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MediaServiceAutoTags" ma:internalName="MediaServiceAutoTags" ma:readOnly="true">
      <xsd:simpleType>
        <xsd:restriction base="dms:Text"/>
      </xsd:simpleType>
    </xsd:element>
    <xsd:element name="MediaServiceLocation" ma:index="12" nillable="true" ma:displayName="MediaServiceLocation" ma:internalName="MediaServiceLocation" ma:readOnly="true">
      <xsd:simpleType>
        <xsd:restriction base="dms:Text"/>
      </xsd:simpleType>
    </xsd:element>
    <xsd:element name="MediaServiceOCR" ma:index="15" nillable="true" ma:displayName="MediaServiceOCR" ma:internalName="MediaServiceOCR" ma:readOnly="true">
      <xsd:simpleType>
        <xsd:restriction base="dms:Note">
          <xsd:maxLength value="255"/>
        </xsd:restriction>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2" nillable="true" ma:displayName="Length (seconds)" ma:internalName="MediaLengthInSeconds" ma:readOnly="true">
      <xsd:simpleType>
        <xsd:restriction base="dms:Unknown"/>
      </xsd:simpleType>
    </xsd:element>
    <xsd:element name="lcf76f155ced4ddcb4097134ff3c332f" ma:index="24" nillable="true" ma:taxonomy="true" ma:internalName="lcf76f155ced4ddcb4097134ff3c332f" ma:taxonomyFieldName="MediaServiceImageTags" ma:displayName="Image Tags" ma:readOnly="false" ma:fieldId="{5cf76f15-5ced-4ddc-b409-7134ff3c332f}" ma:taxonomyMulti="true" ma:sspId="da2d8591-d21d-48f7-bfe1-0974a23ed4fe"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6"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7" nillable="true" ma:displayName="MediaServiceSearchProperties" ma:hidden="true" ma:internalName="MediaServiceSearchProperties" ma:readOnly="true">
      <xsd:simpleType>
        <xsd:restriction base="dms:Note"/>
      </xsd:simpleType>
    </xsd:element>
    <xsd:element name="MediaServiceBillingMetadata" ma:index="28"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55680ac-93de-4e2e-b770-d6a625c34de1"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element name="TaxCatchAll" ma:index="25" nillable="true" ma:displayName="Taxonomy Catch All Column" ma:hidden="true" ma:list="{f60135bc-62b8-4964-a2b8-9207c4dd5a26}" ma:internalName="TaxCatchAll" ma:showField="CatchAllData" ma:web="a55680ac-93de-4e2e-b770-d6a625c34de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lcf76f155ced4ddcb4097134ff3c332f xmlns="d8afe817-5413-4e14-a718-c30ddd63b255">
      <Terms xmlns="http://schemas.microsoft.com/office/infopath/2007/PartnerControls"/>
    </lcf76f155ced4ddcb4097134ff3c332f>
    <TaxCatchAll xmlns="a55680ac-93de-4e2e-b770-d6a625c34de1" xsi:nil="true"/>
    <_ip_UnifiedCompliancePolicyProperties xmlns="http://schemas.microsoft.com/sharepoint/v3" xsi:nil="true"/>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35C3B07E-6F8C-4710-90C7-DACD23470741}"/>
</file>

<file path=customXml/itemProps3.xml><?xml version="1.0" encoding="utf-8"?>
<ds:datastoreItem xmlns:ds="http://schemas.openxmlformats.org/officeDocument/2006/customXml" ds:itemID="{652114F8-8961-4CE5-873E-5334E06694F3}"/>
</file>

<file path=customXml/itemProps4.xml><?xml version="1.0" encoding="utf-8"?>
<ds:datastoreItem xmlns:ds="http://schemas.openxmlformats.org/officeDocument/2006/customXml" ds:itemID="{10946A70-6897-4171-A3E0-8C5AA92CBC5F}"/>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0x010100E19A8271A0D3C14E832065E558459821</vt:lpwstr>
  </property>
</Properties>
</file>