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36049"/>
          <w:sz w:val="32"/>
        </w:rPr>
        <w:t>MISH 04 — Safety &amp; Health Orientation</w:t>
      </w:r>
    </w:p>
    <w:p>
      <w:pPr>
        <w:spacing w:before="0" w:after="20"/>
      </w:pPr>
      <w:r>
        <w:rPr>
          <w:color w:val="333333"/>
          <w:sz w:val="18"/>
        </w:rPr>
        <w:t>Chapter 1: Program Administration &amp; Governance  |  29 CFR 1926.21  |  AGC: Training</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40"/>
        <w:gridCol w:w="2340"/>
        <w:gridCol w:w="2340"/>
        <w:gridCol w:w="2340"/>
      </w:tblGrid>
      <w:tr>
        <w:tc>
          <w:tcPr>
            <w:tcW w:type="dxa" w:w="2340"/>
            <w:shd w:val="clear" w:color="auto" w:fill="2C5040"/>
          </w:tcPr>
          <w:p>
            <w:pPr>
              <w:jc w:val="center"/>
              <w:spacing w:before="50" w:after="50"/>
            </w:pPr>
            <w:r>
              <w:rPr>
                <w:b/>
                <w:color w:val="FFFFFF"/>
                <w:sz w:val="18"/>
              </w:rPr>
              <w:t>DOCUMENT</w:t>
            </w:r>
          </w:p>
        </w:tc>
        <w:tc>
          <w:tcPr>
            <w:tcW w:type="dxa" w:w="2340"/>
            <w:shd w:val="clear" w:color="auto" w:fill="2C5040"/>
          </w:tcPr>
          <w:p>
            <w:pPr>
              <w:jc w:val="center"/>
              <w:spacing w:before="50" w:after="50"/>
            </w:pPr>
            <w:r>
              <w:rPr>
                <w:b/>
                <w:color w:val="FFFFFF"/>
                <w:sz w:val="18"/>
              </w:rPr>
              <w:t>REVISION</w:t>
            </w:r>
          </w:p>
        </w:tc>
        <w:tc>
          <w:tcPr>
            <w:tcW w:type="dxa" w:w="2340"/>
            <w:shd w:val="clear" w:color="auto" w:fill="2C5040"/>
          </w:tcPr>
          <w:p>
            <w:pPr>
              <w:jc w:val="center"/>
              <w:spacing w:before="50" w:after="50"/>
            </w:pPr>
            <w:r>
              <w:rPr>
                <w:b/>
                <w:color w:val="FFFFFF"/>
                <w:sz w:val="18"/>
              </w:rPr>
              <w:t>EFFECTIVE DATE</w:t>
            </w:r>
          </w:p>
        </w:tc>
        <w:tc>
          <w:tcPr>
            <w:tcW w:type="dxa" w:w="2340"/>
            <w:shd w:val="clear" w:color="auto" w:fill="2C5040"/>
          </w:tcPr>
          <w:p>
            <w:pPr>
              <w:jc w:val="center"/>
              <w:spacing w:before="50" w:after="50"/>
            </w:pPr>
            <w:r>
              <w:rPr>
                <w:b/>
                <w:color w:val="FFFFFF"/>
                <w:sz w:val="18"/>
              </w:rPr>
              <w:t>APPROVED BY</w:t>
            </w:r>
          </w:p>
        </w:tc>
      </w:tr>
      <w:tr>
        <w:tc>
          <w:tcPr>
            <w:tcW w:type="dxa" w:w="2340"/>
            <w:shd w:val="clear" w:color="auto" w:fill="F0F0F0"/>
          </w:tcPr>
          <w:p>
            <w:pPr>
              <w:jc w:val="center"/>
              <w:spacing w:before="50" w:after="50"/>
            </w:pPr>
            <w:r>
              <w:rPr>
                <w:sz w:val="20"/>
              </w:rPr>
              <w:t>MISH 04</w:t>
            </w:r>
          </w:p>
        </w:tc>
        <w:tc>
          <w:tcPr>
            <w:tcW w:type="dxa" w:w="2340"/>
            <w:shd w:val="clear" w:color="auto" w:fill="F0F0F0"/>
          </w:tcPr>
          <w:p>
            <w:pPr>
              <w:jc w:val="center"/>
              <w:spacing w:before="50" w:after="50"/>
            </w:pPr>
            <w:r>
              <w:rPr>
                <w:sz w:val="20"/>
              </w:rPr>
              <w:t>3.0</w:t>
            </w:r>
          </w:p>
        </w:tc>
        <w:tc>
          <w:tcPr>
            <w:tcW w:type="dxa" w:w="2340"/>
            <w:shd w:val="clear" w:color="auto" w:fill="F0F0F0"/>
          </w:tcPr>
          <w:p>
            <w:pPr>
              <w:jc w:val="center"/>
              <w:spacing w:before="50" w:after="50"/>
            </w:pPr>
            <w:r>
              <w:rPr>
                <w:sz w:val="20"/>
              </w:rPr>
              <w:t>April 2026</w:t>
            </w:r>
          </w:p>
        </w:tc>
        <w:tc>
          <w:tcPr>
            <w:tcW w:type="dxa" w:w="2340"/>
            <w:shd w:val="clear" w:color="auto" w:fill="F0F0F0"/>
          </w:tcPr>
          <w:p>
            <w:pPr>
              <w:jc w:val="center"/>
              <w:spacing w:before="50" w:after="50"/>
            </w:pPr>
            <w:r>
              <w:rPr>
                <w:sz w:val="20"/>
              </w:rPr>
              <w:t>Jeremy Thamert</w:t>
            </w:r>
          </w:p>
        </w:tc>
      </w:tr>
    </w:tbl>
    <w:p/>
    <w:tbl>
      <w:tblPr>
        <w:tblStyle w:val="TableGrid"/>
        <w:tblW w:type="auto" w:w="0"/>
        <w:jc w:val="left"/>
        <w:tblLook w:firstColumn="1" w:firstRow="1" w:lastColumn="0" w:lastRow="0" w:noHBand="0" w:noVBand="1" w:val="04A0"/>
        <w:tblBorders>
          <w:top w:val="single" w:sz="8" w:space="0" w:color="336049"/>
          <w:left w:val="single" w:sz="8" w:space="0" w:color="336049"/>
          <w:bottom w:val="single" w:sz="8" w:space="0" w:color="336049"/>
          <w:right w:val="single" w:sz="8" w:space="0" w:color="336049"/>
          <w:insideH w:val="single" w:sz="8" w:space="0" w:color="336049"/>
          <w:insideV w:val="single" w:sz="8" w:space="0" w:color="336049"/>
        </w:tblBorders>
      </w:tblPr>
      <w:tblGrid>
        <w:gridCol w:w="2340"/>
        <w:gridCol w:w="2340"/>
        <w:gridCol w:w="2340"/>
        <w:gridCol w:w="2340"/>
      </w:tblGrid>
      <w:tr>
        <w:tc>
          <w:tcPr>
            <w:tcW w:type="dxa" w:w="2340"/>
            <w:shd w:val="clear" w:color="auto" w:fill="2C5040"/>
          </w:tcPr>
          <w:p>
            <w:pPr>
              <w:jc w:val="center"/>
              <w:spacing w:before="40" w:after="40"/>
            </w:pPr>
            <w:r>
              <w:rPr>
                <w:b/>
                <w:color w:val="FFFFFF"/>
                <w:sz w:val="16"/>
              </w:rPr>
              <w:t>President</w:t>
            </w:r>
          </w:p>
        </w:tc>
        <w:tc>
          <w:tcPr>
            <w:tcW w:type="dxa" w:w="2340"/>
            <w:shd w:val="clear" w:color="auto" w:fill="2C5040"/>
          </w:tcPr>
          <w:p>
            <w:pPr>
              <w:jc w:val="center"/>
              <w:spacing w:before="40" w:after="40"/>
            </w:pPr>
            <w:r>
              <w:rPr>
                <w:b/>
                <w:color w:val="FFFFFF"/>
                <w:sz w:val="16"/>
              </w:rPr>
              <w:t>Safety Officer</w:t>
            </w:r>
          </w:p>
        </w:tc>
        <w:tc>
          <w:tcPr>
            <w:tcW w:type="dxa" w:w="2340"/>
            <w:shd w:val="clear" w:color="auto" w:fill="2C5040"/>
          </w:tcPr>
          <w:p>
            <w:pPr>
              <w:jc w:val="center"/>
              <w:spacing w:before="40" w:after="40"/>
            </w:pPr>
            <w:r>
              <w:rPr>
                <w:b/>
                <w:color w:val="FFFFFF"/>
                <w:sz w:val="16"/>
              </w:rPr>
              <w:t>Travelers Risk Control Consultant</w:t>
            </w:r>
          </w:p>
        </w:tc>
        <w:tc>
          <w:tcPr>
            <w:tcW w:type="dxa" w:w="2340"/>
            <w:shd w:val="clear" w:color="auto" w:fill="2C5040"/>
          </w:tcPr>
          <w:p>
            <w:pPr>
              <w:jc w:val="center"/>
              <w:spacing w:before="40" w:after="40"/>
            </w:pPr>
            <w:r>
              <w:rPr>
                <w:b/>
                <w:color w:val="FFFFFF"/>
                <w:sz w:val="16"/>
              </w:rPr>
              <w:t>AGC Representative</w:t>
            </w:r>
          </w:p>
        </w:tc>
      </w:tr>
      <w:tr>
        <w:tc>
          <w:tcPr>
            <w:tcW w:type="dxa" w:w="2340"/>
            <w:shd w:val="clear" w:color="auto" w:fill="F0F0F0"/>
          </w:tcPr>
          <w:p>
            <w:pPr>
              <w:jc w:val="center"/>
              <w:spacing w:before="40" w:after="40"/>
            </w:pPr>
            <w:r>
              <w:rPr>
                <w:sz w:val="20"/>
              </w:rPr>
              <w:t>Jeremy Thamert</w:t>
            </w:r>
          </w:p>
        </w:tc>
        <w:tc>
          <w:tcPr>
            <w:tcW w:type="dxa" w:w="2340"/>
            <w:shd w:val="clear" w:color="auto" w:fill="F0F0F0"/>
          </w:tcPr>
          <w:p>
            <w:pPr>
              <w:jc w:val="center"/>
              <w:spacing w:before="40" w:after="40"/>
            </w:pPr>
            <w:r>
              <w:rPr>
                <w:sz w:val="20"/>
              </w:rPr>
              <w:t>Matt Ramsey</w:t>
            </w:r>
          </w:p>
        </w:tc>
        <w:tc>
          <w:tcPr>
            <w:tcW w:type="dxa" w:w="2340"/>
            <w:shd w:val="clear" w:color="auto" w:fill="F0F0F0"/>
          </w:tcPr>
          <w:p>
            <w:pPr>
              <w:jc w:val="center"/>
              <w:spacing w:before="40" w:after="40"/>
            </w:pPr>
            <w:r>
              <w:rPr>
                <w:sz w:val="20"/>
              </w:rPr>
              <w:t>_______________________</w:t>
            </w:r>
          </w:p>
        </w:tc>
        <w:tc>
          <w:tcPr>
            <w:tcW w:type="dxa" w:w="2340"/>
            <w:shd w:val="clear" w:color="auto" w:fill="F0F0F0"/>
          </w:tcPr>
          <w:p>
            <w:pPr>
              <w:jc w:val="center"/>
              <w:spacing w:before="40" w:after="40"/>
            </w:pPr>
            <w:r>
              <w:rPr>
                <w:sz w:val="20"/>
              </w:rPr>
              <w:t>_______________________</w:t>
            </w:r>
          </w:p>
        </w:tc>
      </w:tr>
      <w:tr>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r>
    </w:tbl>
    <w:p/>
    <w:p>
      <w:pPr>
        <w:pStyle w:val="Heading2"/>
        <w:spacing w:before="140" w:after="60"/>
      </w:pPr>
      <w:r>
        <w:rPr>
          <w:color w:val="336049"/>
          <w:sz w:val="24"/>
        </w:rPr>
        <w:t>﻿Mh Construction Industrial Safety And Health Program</w:t>
      </w:r>
    </w:p>
    <w:p>
      <w:pPr>
        <w:spacing w:before="40" w:after="40" w:line="276" w:lineRule="auto"/>
      </w:pPr>
      <w:r>
        <w:rPr>
          <w:sz w:val="22"/>
        </w:rPr>
        <w:t>Title</w:t>
      </w:r>
    </w:p>
    <w:p>
      <w:pPr>
        <w:pStyle w:val="Heading2"/>
        <w:spacing w:before="140" w:after="60"/>
      </w:pPr>
      <w:r>
        <w:rPr>
          <w:color w:val="336049"/>
          <w:sz w:val="24"/>
        </w:rPr>
        <w:t>Safety And Health Orientation</w:t>
      </w:r>
    </w:p>
    <w:p>
      <w:pPr>
        <w:spacing w:before="40" w:after="40" w:line="276" w:lineRule="auto"/>
      </w:pPr>
      <w:r>
        <w:rPr>
          <w:sz w:val="22"/>
        </w:rPr>
        <w:t>Number</w:t>
      </w:r>
    </w:p>
    <w:p>
      <w:pPr>
        <w:pStyle w:val="Heading2"/>
        <w:spacing w:before="140" w:after="60"/>
      </w:pPr>
      <w:r>
        <w:rPr>
          <w:color w:val="336049"/>
          <w:sz w:val="24"/>
        </w:rPr>
        <w:t>Mish 04</w:t>
      </w:r>
    </w:p>
    <w:p>
      <w:pPr>
        <w:spacing w:before="40" w:after="40" w:line="276" w:lineRule="auto"/>
      </w:pPr>
      <w:r>
        <w:rPr>
          <w:sz w:val="22"/>
        </w:rPr>
        <w:t>Revision</w:t>
      </w:r>
    </w:p>
    <w:p>
      <w:pPr>
        <w:spacing w:before="40" w:after="40" w:line="276" w:lineRule="auto"/>
      </w:pPr>
      <w:r>
        <w:rPr>
          <w:sz w:val="22"/>
        </w:rPr>
        <w:t>1</w:t>
      </w:r>
    </w:p>
    <w:p>
      <w:pPr>
        <w:spacing w:before="40" w:after="40" w:line="276" w:lineRule="auto"/>
      </w:pPr>
      <w:r>
        <w:rPr>
          <w:sz w:val="22"/>
        </w:rPr>
        <w:t>Approved By</w:t>
      </w:r>
    </w:p>
    <w:p>
      <w:pPr>
        <w:spacing w:before="40" w:after="40" w:line="276" w:lineRule="auto"/>
      </w:pPr>
      <w:r>
        <w:rPr>
          <w:sz w:val="22"/>
        </w:rPr>
        <w:t>Jeremy Thamert                                              03/01/2025</w:t>
      </w:r>
    </w:p>
    <w:p>
      <w:pPr>
        <w:spacing w:before="40" w:after="40" w:line="276" w:lineRule="auto"/>
      </w:pPr>
      <w:r>
        <w:rPr>
          <w:sz w:val="22"/>
        </w:rPr>
        <w:t>Name                                                      Date</w:t>
      </w:r>
    </w:p>
    <w:p>
      <w:pPr>
        <w:spacing w:before="40" w:after="40" w:line="276" w:lineRule="auto"/>
      </w:pPr>
      <w:r>
        <w:rPr>
          <w:sz w:val="22"/>
        </w:rPr>
        <w:t>Effective Date</w:t>
      </w:r>
    </w:p>
    <w:p>
      <w:pPr>
        <w:spacing w:before="40" w:after="40" w:line="276" w:lineRule="auto"/>
      </w:pPr>
      <w:r>
        <w:rPr>
          <w:sz w:val="22"/>
        </w:rPr>
        <w:t>3/1/25</w:t>
      </w:r>
    </w:p>
    <w:p>
      <w:pPr>
        <w:spacing w:before="40" w:after="40" w:line="276" w:lineRule="auto"/>
      </w:pPr>
      <w:r>
        <w:rPr>
          <w:sz w:val="22"/>
        </w:rPr>
        <w:t>Page</w:t>
      </w:r>
    </w:p>
    <w:p>
      <w:pPr>
        <w:spacing w:before="40" w:after="40" w:line="276" w:lineRule="auto"/>
      </w:pPr>
      <w:r>
        <w:rPr>
          <w:sz w:val="22"/>
        </w:rPr>
        <w:t>1 of 6</w:t>
      </w:r>
    </w:p>
    <w:p>
      <w:pPr>
        <w:spacing w:before="50" w:after="40" w:line="276" w:lineRule="auto"/>
        <w:ind w:left="720" w:hanging="720"/>
      </w:pPr>
      <w:r>
        <w:rPr>
          <w:b/>
          <w:sz w:val="22"/>
        </w:rPr>
        <w:t xml:space="preserve">1.0  </w:t>
      </w:r>
      <w:r>
        <w:rPr>
          <w:b w:val="0"/>
          <w:sz w:val="22"/>
        </w:rPr>
        <w:t>PURPOSE</w:t>
      </w:r>
    </w:p>
    <w:p>
      <w:pPr>
        <w:spacing w:before="40" w:after="40" w:line="276" w:lineRule="auto"/>
      </w:pPr>
      <w:r>
        <w:rPr>
          <w:sz w:val="22"/>
        </w:rPr>
        <w:t>To define the requirements, responsibilities, and system for orienting employees to the MH Construction Industrial Safety and Health (MISH) program, and instructing employees to the job-specific requirements.  To ensure compliance with Occupational Safety and Health Administration/Washington Industrial Safety and Health Act (OSHA/WISHA) requirements.</w:t>
      </w:r>
    </w:p>
    <w:p>
      <w:pPr>
        <w:spacing w:before="50" w:after="40" w:line="276" w:lineRule="auto"/>
        <w:ind w:left="720" w:hanging="720"/>
      </w:pPr>
      <w:r>
        <w:rPr>
          <w:b/>
          <w:sz w:val="22"/>
        </w:rPr>
        <w:t xml:space="preserve">2.0  </w:t>
      </w:r>
      <w:r>
        <w:rPr>
          <w:b w:val="0"/>
          <w:sz w:val="22"/>
        </w:rPr>
        <w:t>RESPONSIBILITY</w:t>
      </w:r>
    </w:p>
    <w:p>
      <w:pPr>
        <w:spacing w:before="50" w:after="40" w:line="276" w:lineRule="auto"/>
        <w:ind w:left="720" w:hanging="720"/>
      </w:pPr>
      <w:r>
        <w:rPr>
          <w:b/>
          <w:sz w:val="22"/>
        </w:rPr>
        <w:t xml:space="preserve">2.1  </w:t>
      </w:r>
      <w:r>
        <w:rPr>
          <w:b w:val="0"/>
          <w:sz w:val="22"/>
        </w:rPr>
        <w:t>MH Construction is responsible for the following:</w:t>
      </w:r>
    </w:p>
    <w:p>
      <w:pPr>
        <w:spacing w:before="50" w:after="40" w:line="276" w:lineRule="auto"/>
        <w:ind w:left="720" w:hanging="720"/>
      </w:pPr>
      <w:r>
        <w:rPr>
          <w:b/>
          <w:sz w:val="22"/>
        </w:rPr>
        <w:t xml:space="preserve">2.1.1  </w:t>
      </w:r>
      <w:r>
        <w:rPr>
          <w:b w:val="0"/>
          <w:sz w:val="22"/>
        </w:rPr>
        <w:t>Assisting contractors in identifying area-specific emergency response and notification requirements.</w:t>
      </w:r>
    </w:p>
    <w:p>
      <w:pPr>
        <w:spacing w:before="50" w:after="40" w:line="276" w:lineRule="auto"/>
        <w:ind w:left="720" w:hanging="720"/>
      </w:pPr>
      <w:r>
        <w:rPr>
          <w:b/>
          <w:sz w:val="22"/>
        </w:rPr>
        <w:t xml:space="preserve">2.2  </w:t>
      </w:r>
      <w:r>
        <w:rPr>
          <w:b w:val="0"/>
          <w:sz w:val="22"/>
        </w:rPr>
        <w:t>The Key Supervisor shall be responsible for the following:</w:t>
      </w:r>
    </w:p>
    <w:p>
      <w:pPr>
        <w:spacing w:before="50" w:after="40" w:line="276" w:lineRule="auto"/>
        <w:ind w:left="720" w:hanging="720"/>
      </w:pPr>
      <w:r>
        <w:rPr>
          <w:b/>
          <w:sz w:val="22"/>
        </w:rPr>
        <w:t xml:space="preserve">2.2.1  </w:t>
      </w:r>
      <w:r>
        <w:rPr>
          <w:b w:val="0"/>
          <w:sz w:val="22"/>
        </w:rPr>
        <w:t>Orienting their employees and lower-tier contractor employees to the MISH program and completing the Orientation Checklist (attachment MISH 4-A) prior to individual employees beginning work activities.</w:t>
      </w:r>
    </w:p>
    <w:p>
      <w:pPr>
        <w:spacing w:before="40" w:after="40" w:line="276" w:lineRule="auto"/>
      </w:pPr>
      <w:r>
        <w:rPr>
          <w:sz w:val="22"/>
        </w:rPr>
        <w:t>NOTE:</w:t>
        <w:tab/>
        <w:t>Escorted personnel including vendors, engineers and infrequent visitors, can be exempt from the MISH program orientation provided they are escorted and kept out of hazardous areas.</w:t>
      </w:r>
    </w:p>
    <w:p>
      <w:pPr>
        <w:spacing w:before="50" w:after="40" w:line="276" w:lineRule="auto"/>
        <w:ind w:left="720" w:hanging="720"/>
      </w:pPr>
      <w:r>
        <w:rPr>
          <w:b/>
          <w:sz w:val="22"/>
        </w:rPr>
        <w:t xml:space="preserve">2.2.2  </w:t>
      </w:r>
      <w:r>
        <w:rPr>
          <w:b w:val="0"/>
          <w:sz w:val="22"/>
        </w:rPr>
        <w:t>Ensuring each employee and lower-tier employee has reviewed the applicable/required MISH procedures and signed the Orientation Signature Sheet (attachment MISH 4-B).</w:t>
      </w:r>
    </w:p>
    <w:p>
      <w:pPr>
        <w:spacing w:before="50" w:after="40" w:line="276" w:lineRule="auto"/>
        <w:ind w:left="720" w:hanging="720"/>
      </w:pPr>
      <w:r>
        <w:rPr>
          <w:b/>
          <w:sz w:val="22"/>
        </w:rPr>
        <w:t xml:space="preserve">2.2.3  </w:t>
      </w:r>
      <w:r>
        <w:rPr>
          <w:b w:val="0"/>
          <w:sz w:val="22"/>
        </w:rPr>
        <w:t>The checklist and signature sheet shall be available at the jobsite.</w:t>
      </w:r>
    </w:p>
    <w:p>
      <w:pPr>
        <w:spacing w:before="50" w:after="40" w:line="276" w:lineRule="auto"/>
        <w:ind w:left="720" w:hanging="720"/>
      </w:pPr>
      <w:r>
        <w:rPr>
          <w:b/>
          <w:sz w:val="22"/>
        </w:rPr>
        <w:t xml:space="preserve">2.3  </w:t>
      </w:r>
      <w:r>
        <w:rPr>
          <w:b w:val="0"/>
          <w:sz w:val="22"/>
        </w:rPr>
        <w:t>Employees shall be responsible for understanding and complying with the MISH program and job-specific requirements.</w:t>
      </w:r>
    </w:p>
    <w:p>
      <w:pPr>
        <w:spacing w:before="50" w:after="40" w:line="276" w:lineRule="auto"/>
        <w:ind w:left="720" w:hanging="720"/>
      </w:pPr>
      <w:r>
        <w:rPr>
          <w:b/>
          <w:sz w:val="22"/>
        </w:rPr>
        <w:t xml:space="preserve">3.0  </w:t>
      </w:r>
      <w:r>
        <w:rPr>
          <w:b w:val="0"/>
          <w:sz w:val="22"/>
        </w:rPr>
        <w:t>DEFINITIONS</w:t>
      </w:r>
    </w:p>
    <w:p>
      <w:pPr>
        <w:spacing w:before="40" w:after="40" w:line="276" w:lineRule="auto"/>
      </w:pPr>
      <w:r>
        <w:rPr>
          <w:sz w:val="22"/>
        </w:rPr>
        <w:t>Not Applicable</w:t>
      </w:r>
    </w:p>
    <w:p>
      <w:pPr>
        <w:spacing w:before="50" w:after="40" w:line="276" w:lineRule="auto"/>
        <w:ind w:left="720" w:hanging="720"/>
      </w:pPr>
      <w:r>
        <w:rPr>
          <w:b/>
          <w:sz w:val="22"/>
        </w:rPr>
        <w:t xml:space="preserve">4.0  </w:t>
      </w:r>
      <w:r>
        <w:rPr>
          <w:b w:val="0"/>
          <w:sz w:val="22"/>
        </w:rPr>
        <w:t>GENERAL REQUIREMENTS</w:t>
      </w:r>
    </w:p>
    <w:p>
      <w:pPr>
        <w:spacing w:before="50" w:after="40" w:line="276" w:lineRule="auto"/>
        <w:ind w:left="720" w:hanging="720"/>
      </w:pPr>
      <w:r>
        <w:rPr>
          <w:b/>
          <w:sz w:val="22"/>
        </w:rPr>
        <w:t xml:space="preserve">4.1  </w:t>
      </w:r>
      <w:r>
        <w:rPr>
          <w:b w:val="0"/>
          <w:sz w:val="22"/>
        </w:rPr>
        <w:t>Key Supervisors/Safety Representative shall orient employees to the MISH program as identified on the Orientation Checklist, and to procedures the Contractor identifies that are applicable to the project.  These procedures must be checked on the Orientation Checklist.</w:t>
      </w:r>
    </w:p>
    <w:p>
      <w:pPr>
        <w:spacing w:before="50" w:after="40" w:line="276" w:lineRule="auto"/>
        <w:ind w:left="720" w:hanging="720"/>
      </w:pPr>
      <w:r>
        <w:rPr>
          <w:b/>
          <w:sz w:val="22"/>
        </w:rPr>
        <w:t xml:space="preserve">4.2  </w:t>
      </w:r>
      <w:r>
        <w:rPr>
          <w:b w:val="0"/>
          <w:sz w:val="22"/>
        </w:rPr>
        <w:t>Topics to be covered during the orientation (as a minimum) include:</w:t>
      </w:r>
    </w:p>
    <w:p>
      <w:pPr>
        <w:spacing w:before="40" w:after="40" w:line="276" w:lineRule="auto"/>
      </w:pPr>
      <w:r>
        <w:rPr>
          <w:sz w:val="22"/>
        </w:rPr>
        <w:t></w:t>
        <w:tab/>
        <w:t>Employer rights and responsibilities</w:t>
      </w:r>
    </w:p>
    <w:p>
      <w:pPr>
        <w:spacing w:before="40" w:after="40" w:line="276" w:lineRule="auto"/>
      </w:pPr>
      <w:r>
        <w:rPr>
          <w:sz w:val="22"/>
        </w:rPr>
        <w:t></w:t>
        <w:tab/>
        <w:t>Disciplinary procedures</w:t>
      </w:r>
    </w:p>
    <w:p>
      <w:pPr>
        <w:spacing w:before="40" w:after="40" w:line="276" w:lineRule="auto"/>
      </w:pPr>
      <w:r>
        <w:rPr>
          <w:sz w:val="22"/>
        </w:rPr>
        <w:t></w:t>
        <w:tab/>
        <w:t>Alcohol and Drug Abuse policies</w:t>
      </w:r>
    </w:p>
    <w:p>
      <w:pPr>
        <w:spacing w:before="40" w:after="40" w:line="276" w:lineRule="auto"/>
      </w:pPr>
      <w:r>
        <w:rPr>
          <w:sz w:val="22"/>
        </w:rPr>
        <w:t></w:t>
        <w:tab/>
        <w:t>Access to exposure monitoring data/records</w:t>
      </w:r>
    </w:p>
    <w:p>
      <w:pPr>
        <w:spacing w:before="40" w:after="40" w:line="276" w:lineRule="auto"/>
      </w:pPr>
      <w:r>
        <w:rPr>
          <w:sz w:val="22"/>
        </w:rPr>
        <w:t></w:t>
        <w:tab/>
        <w:t>Location of JHAs and company safety program</w:t>
      </w:r>
    </w:p>
    <w:p>
      <w:pPr>
        <w:spacing w:before="40" w:after="40" w:line="276" w:lineRule="auto"/>
      </w:pPr>
      <w:r>
        <w:rPr>
          <w:sz w:val="22"/>
        </w:rPr>
        <w:t></w:t>
        <w:tab/>
        <w:t>Emergency signals, response, and notification requirements for the area</w:t>
      </w:r>
    </w:p>
    <w:p>
      <w:pPr>
        <w:spacing w:before="40" w:after="40" w:line="276" w:lineRule="auto"/>
      </w:pPr>
      <w:r>
        <w:rPr>
          <w:sz w:val="22"/>
        </w:rPr>
        <w:t></w:t>
        <w:tab/>
        <w:t>Location of fire extinguishers, pull box alarms, emergency evacuation routes, and first aid facilities</w:t>
      </w:r>
    </w:p>
    <w:p>
      <w:pPr>
        <w:spacing w:before="40" w:after="40" w:line="276" w:lineRule="auto"/>
      </w:pPr>
      <w:r>
        <w:rPr>
          <w:sz w:val="22"/>
        </w:rPr>
        <w:t></w:t>
        <w:tab/>
        <w:t>How to report injuries</w:t>
      </w:r>
    </w:p>
    <w:p>
      <w:pPr>
        <w:spacing w:before="40" w:after="40" w:line="276" w:lineRule="auto"/>
      </w:pPr>
      <w:r>
        <w:rPr>
          <w:sz w:val="22"/>
        </w:rPr>
        <w:t></w:t>
        <w:tab/>
        <w:t>How to report unsafe conditions</w:t>
      </w:r>
    </w:p>
    <w:p>
      <w:pPr>
        <w:spacing w:before="40" w:after="40" w:line="276" w:lineRule="auto"/>
      </w:pPr>
      <w:r>
        <w:rPr>
          <w:sz w:val="22"/>
        </w:rPr>
        <w:t></w:t>
        <w:tab/>
        <w:t>The use and care of personal protective equipment</w:t>
      </w:r>
    </w:p>
    <w:p>
      <w:pPr>
        <w:spacing w:before="40" w:after="40" w:line="276" w:lineRule="auto"/>
      </w:pPr>
      <w:r>
        <w:rPr>
          <w:sz w:val="22"/>
        </w:rPr>
        <w:t></w:t>
        <w:tab/>
        <w:t>Identification of hazards gases, chemicals and materials; instruction on the hazards of these products and their safe use</w:t>
      </w:r>
    </w:p>
    <w:p>
      <w:pPr>
        <w:spacing w:before="40" w:after="40" w:line="276" w:lineRule="auto"/>
      </w:pPr>
      <w:r>
        <w:rPr>
          <w:sz w:val="22"/>
        </w:rPr>
        <w:t></w:t>
        <w:tab/>
        <w:t>Instruct employees regarding smoking in Owner’s facilities.  Additionally, contractors are encouraged to establish designated smoking areas for their facilities.  The designated smoking area provides a healthier workplace for the employee where “passive smoke” effects are minimized and the rights of smokers are also respected.</w:t>
      </w:r>
    </w:p>
    <w:p>
      <w:pPr>
        <w:spacing w:before="40" w:after="40" w:line="276" w:lineRule="auto"/>
      </w:pPr>
      <w:r>
        <w:rPr>
          <w:sz w:val="22"/>
        </w:rPr>
        <w:t></w:t>
        <w:tab/>
        <w:t>Location of nearest Medical Aid Station</w:t>
      </w:r>
    </w:p>
    <w:p>
      <w:pPr>
        <w:spacing w:before="40" w:after="40" w:line="276" w:lineRule="auto"/>
      </w:pPr>
      <w:r>
        <w:rPr>
          <w:sz w:val="22"/>
        </w:rPr>
        <w:t></w:t>
        <w:tab/>
        <w:t>Location of nearest telephone</w:t>
      </w:r>
    </w:p>
    <w:p>
      <w:pPr>
        <w:spacing w:before="50" w:after="40" w:line="276" w:lineRule="auto"/>
        <w:ind w:left="720" w:hanging="720"/>
      </w:pPr>
      <w:r>
        <w:rPr>
          <w:b/>
          <w:sz w:val="22"/>
        </w:rPr>
        <w:t xml:space="preserve">4.3  </w:t>
      </w:r>
      <w:r>
        <w:rPr>
          <w:b w:val="0"/>
          <w:sz w:val="22"/>
        </w:rPr>
        <w:t>The employees, after understanding the procedures identified in the Orientation checklist, sign the Orientation Signature Sheet.</w:t>
      </w:r>
    </w:p>
    <w:p>
      <w:pPr>
        <w:spacing w:before="50" w:after="40" w:line="276" w:lineRule="auto"/>
        <w:ind w:left="720" w:hanging="720"/>
      </w:pPr>
      <w:r>
        <w:rPr>
          <w:b/>
          <w:sz w:val="22"/>
        </w:rPr>
        <w:t xml:space="preserve">5.0  </w:t>
      </w:r>
      <w:r>
        <w:rPr>
          <w:b w:val="0"/>
          <w:sz w:val="22"/>
        </w:rPr>
        <w:t>PROCEDURE</w:t>
      </w:r>
    </w:p>
    <w:p>
      <w:pPr>
        <w:spacing w:before="40" w:after="40" w:line="276" w:lineRule="auto"/>
      </w:pPr>
      <w:r>
        <w:rPr>
          <w:sz w:val="22"/>
        </w:rPr>
        <w:t>Not Applicable</w:t>
      </w:r>
    </w:p>
    <w:p>
      <w:pPr>
        <w:spacing w:before="50" w:after="40" w:line="276" w:lineRule="auto"/>
        <w:ind w:left="720" w:hanging="720"/>
      </w:pPr>
      <w:r>
        <w:rPr>
          <w:b/>
          <w:sz w:val="22"/>
        </w:rPr>
        <w:t xml:space="preserve">6.0  </w:t>
      </w:r>
      <w:r>
        <w:rPr>
          <w:b w:val="0"/>
          <w:sz w:val="22"/>
        </w:rPr>
        <w:t>RECORDS</w:t>
      </w:r>
    </w:p>
    <w:p>
      <w:pPr>
        <w:spacing w:before="40" w:after="40" w:line="276" w:lineRule="auto"/>
      </w:pPr>
      <w:r>
        <w:rPr>
          <w:sz w:val="22"/>
        </w:rPr>
        <w:t>Document</w:t>
      </w:r>
    </w:p>
    <w:p>
      <w:pPr>
        <w:spacing w:before="40" w:after="40" w:line="276" w:lineRule="auto"/>
      </w:pPr>
      <w:r>
        <w:rPr>
          <w:sz w:val="22"/>
        </w:rPr>
        <w:t>Record Submittal</w:t>
      </w:r>
    </w:p>
    <w:p>
      <w:pPr>
        <w:spacing w:before="40" w:after="40" w:line="276" w:lineRule="auto"/>
      </w:pPr>
      <w:r>
        <w:rPr>
          <w:sz w:val="22"/>
        </w:rPr>
        <w:t>Responsibility</w:t>
      </w:r>
    </w:p>
    <w:p>
      <w:pPr>
        <w:spacing w:before="40" w:after="40" w:line="276" w:lineRule="auto"/>
      </w:pPr>
      <w:r>
        <w:rPr>
          <w:sz w:val="22"/>
        </w:rPr>
        <w:t>Record Retention</w:t>
      </w:r>
    </w:p>
    <w:p>
      <w:pPr>
        <w:spacing w:before="40" w:after="40" w:line="276" w:lineRule="auto"/>
      </w:pPr>
      <w:r>
        <w:rPr>
          <w:sz w:val="22"/>
        </w:rPr>
        <w:t>Responsibility</w:t>
      </w:r>
    </w:p>
    <w:p>
      <w:pPr>
        <w:spacing w:before="40" w:after="40" w:line="276" w:lineRule="auto"/>
      </w:pPr>
      <w:r>
        <w:rPr>
          <w:sz w:val="22"/>
        </w:rPr>
        <w:t>Orientation Checklist</w:t>
      </w:r>
    </w:p>
    <w:p>
      <w:pPr>
        <w:spacing w:before="40" w:after="40" w:line="276" w:lineRule="auto"/>
      </w:pPr>
      <w:r>
        <w:rPr>
          <w:sz w:val="22"/>
        </w:rPr>
        <w:t>Contractor</w:t>
      </w:r>
    </w:p>
    <w:p>
      <w:pPr>
        <w:spacing w:before="40" w:after="40" w:line="276" w:lineRule="auto"/>
      </w:pPr>
      <w:r>
        <w:rPr>
          <w:sz w:val="22"/>
        </w:rPr>
        <w:t>Construction Management</w:t>
      </w:r>
    </w:p>
    <w:p>
      <w:pPr>
        <w:spacing w:before="40" w:after="40" w:line="276" w:lineRule="auto"/>
      </w:pPr>
      <w:r>
        <w:rPr>
          <w:sz w:val="22"/>
        </w:rPr>
        <w:t>Orientation Signature Sheet</w:t>
      </w:r>
    </w:p>
    <w:p>
      <w:pPr>
        <w:spacing w:before="40" w:after="40" w:line="276" w:lineRule="auto"/>
      </w:pPr>
      <w:r>
        <w:rPr>
          <w:sz w:val="22"/>
        </w:rPr>
        <w:t>Contractor</w:t>
      </w:r>
    </w:p>
    <w:p>
      <w:pPr>
        <w:spacing w:before="40" w:after="40" w:line="276" w:lineRule="auto"/>
      </w:pPr>
      <w:r>
        <w:rPr>
          <w:sz w:val="22"/>
        </w:rPr>
        <w:t>Construction Management</w:t>
      </w:r>
    </w:p>
    <w:p>
      <w:pPr>
        <w:spacing w:before="50" w:after="40" w:line="276" w:lineRule="auto"/>
        <w:ind w:left="720" w:hanging="720"/>
      </w:pPr>
      <w:r>
        <w:rPr>
          <w:b/>
          <w:sz w:val="22"/>
        </w:rPr>
        <w:t xml:space="preserve">7.0  </w:t>
      </w:r>
      <w:r>
        <w:rPr>
          <w:b w:val="0"/>
          <w:sz w:val="22"/>
        </w:rPr>
        <w:t>REFERENCES</w:t>
      </w:r>
    </w:p>
    <w:p>
      <w:pPr>
        <w:spacing w:before="40" w:after="40" w:line="276" w:lineRule="auto"/>
      </w:pPr>
      <w:r>
        <w:rPr>
          <w:sz w:val="22"/>
        </w:rPr>
        <w:t>29 CFR 1910</w:t>
        <w:tab/>
        <w:tab/>
        <w:tab/>
        <w:t>Occupational Safety and Health Standards (OSHA)</w:t>
      </w:r>
    </w:p>
    <w:p>
      <w:pPr>
        <w:spacing w:before="40" w:after="40" w:line="276" w:lineRule="auto"/>
      </w:pPr>
      <w:r>
        <w:rPr>
          <w:sz w:val="22"/>
        </w:rPr>
        <w:t>29 CFR 1926</w:t>
        <w:tab/>
        <w:tab/>
        <w:tab/>
        <w:t>Safety and Health Regulations for Construction (OSHA)</w:t>
      </w:r>
    </w:p>
    <w:p>
      <w:pPr>
        <w:spacing w:before="40" w:after="40" w:line="276" w:lineRule="auto"/>
      </w:pPr>
      <w:r>
        <w:rPr>
          <w:sz w:val="22"/>
        </w:rPr>
        <w:t>WAC 296-155</w:t>
        <w:tab/>
        <w:t>Safety Standards for Construction Work (WISHA)</w:t>
      </w:r>
    </w:p>
    <w:p>
      <w:pPr>
        <w:spacing w:before="50" w:after="40" w:line="276" w:lineRule="auto"/>
        <w:ind w:left="720" w:hanging="720"/>
      </w:pPr>
      <w:r>
        <w:rPr>
          <w:b/>
          <w:sz w:val="22"/>
        </w:rPr>
        <w:t xml:space="preserve">8.0  </w:t>
      </w:r>
      <w:r>
        <w:rPr>
          <w:b w:val="0"/>
          <w:sz w:val="22"/>
        </w:rPr>
        <w:t>ATTACHMENTS</w:t>
      </w:r>
    </w:p>
    <w:p>
      <w:pPr>
        <w:spacing w:before="40" w:after="40" w:line="276" w:lineRule="auto"/>
      </w:pPr>
      <w:r>
        <w:rPr>
          <w:sz w:val="22"/>
        </w:rPr>
        <w:t>MISH 4-A</w:t>
        <w:tab/>
        <w:t>Orientation Checklist</w:t>
      </w:r>
    </w:p>
    <w:p>
      <w:pPr>
        <w:spacing w:before="40" w:after="40" w:line="276" w:lineRule="auto"/>
      </w:pPr>
      <w:r>
        <w:rPr>
          <w:sz w:val="22"/>
        </w:rPr>
        <w:t>MISH 4-B</w:t>
        <w:tab/>
        <w:t>Contractor Orientation Signature Sheet</w:t>
      </w:r>
    </w:p>
    <w:p>
      <w:pPr>
        <w:pStyle w:val="Heading2"/>
        <w:spacing w:before="140" w:after="60"/>
      </w:pPr>
      <w:r>
        <w:rPr>
          <w:color w:val="336049"/>
          <w:sz w:val="24"/>
        </w:rPr>
        <w:t>Orientation Checklist</w:t>
      </w:r>
    </w:p>
    <w:p>
      <w:pPr>
        <w:pStyle w:val="Heading2"/>
        <w:spacing w:before="140" w:after="60"/>
      </w:pPr>
      <w:r>
        <w:rPr>
          <w:color w:val="336049"/>
          <w:sz w:val="24"/>
        </w:rPr>
        <w:t>Procedure Applicable</w:t>
      </w:r>
    </w:p>
    <w:p>
      <w:pPr>
        <w:pStyle w:val="Heading2"/>
        <w:spacing w:before="140" w:after="60"/>
      </w:pPr>
      <w:r>
        <w:rPr>
          <w:color w:val="336049"/>
          <w:sz w:val="24"/>
        </w:rPr>
        <w:t>To The Project</w:t>
      </w:r>
    </w:p>
    <w:p>
      <w:pPr>
        <w:pStyle w:val="Heading2"/>
        <w:spacing w:before="140" w:after="60"/>
      </w:pPr>
      <w:r>
        <w:rPr>
          <w:color w:val="336049"/>
          <w:sz w:val="24"/>
        </w:rPr>
        <w:t>Yes</w:t>
        <w:tab/>
        <w:tab/>
        <w:t>No</w:t>
        <w:tab/>
        <w:tab/>
        <w:t>Required</w:t>
      </w:r>
    </w:p>
    <w:p>
      <w:pPr>
        <w:pStyle w:val="Heading2"/>
        <w:spacing w:before="140" w:after="60"/>
      </w:pPr>
      <w:r>
        <w:rPr>
          <w:color w:val="336049"/>
          <w:sz w:val="24"/>
        </w:rPr>
        <w:t>Mish 1</w:t>
      </w:r>
    </w:p>
    <w:p>
      <w:pPr>
        <w:spacing w:before="40" w:after="40" w:line="276" w:lineRule="auto"/>
      </w:pPr>
      <w:r>
        <w:rPr>
          <w:sz w:val="22"/>
        </w:rPr>
        <w:t>Injury Free Workplace</w:t>
      </w:r>
    </w:p>
    <w:p>
      <w:pPr>
        <w:pStyle w:val="Heading2"/>
        <w:spacing w:before="140" w:after="60"/>
      </w:pPr>
      <w:r>
        <w:rPr>
          <w:color w:val="336049"/>
          <w:sz w:val="24"/>
        </w:rPr>
        <w:t>Mish 2</w:t>
      </w:r>
    </w:p>
    <w:p>
      <w:pPr>
        <w:spacing w:before="40" w:after="40" w:line="276" w:lineRule="auto"/>
      </w:pPr>
      <w:r>
        <w:rPr>
          <w:sz w:val="22"/>
        </w:rPr>
        <w:t>Drug Free Work Place</w:t>
      </w:r>
    </w:p>
    <w:p>
      <w:pPr>
        <w:pStyle w:val="Heading2"/>
        <w:spacing w:before="140" w:after="60"/>
      </w:pPr>
      <w:r>
        <w:rPr>
          <w:color w:val="336049"/>
          <w:sz w:val="24"/>
        </w:rPr>
        <w:t>Mish 3</w:t>
      </w:r>
    </w:p>
    <w:p>
      <w:pPr>
        <w:spacing w:before="40" w:after="40" w:line="276" w:lineRule="auto"/>
      </w:pPr>
      <w:r>
        <w:rPr>
          <w:sz w:val="22"/>
        </w:rPr>
        <w:t>Program Policy and Requirements</w:t>
      </w:r>
    </w:p>
    <w:p>
      <w:pPr>
        <w:pStyle w:val="Heading2"/>
        <w:spacing w:before="140" w:after="60"/>
      </w:pPr>
      <w:r>
        <w:rPr>
          <w:color w:val="336049"/>
          <w:sz w:val="24"/>
        </w:rPr>
        <w:t>Mish 4</w:t>
      </w:r>
    </w:p>
    <w:p>
      <w:pPr>
        <w:spacing w:before="40" w:after="40" w:line="276" w:lineRule="auto"/>
      </w:pPr>
      <w:r>
        <w:rPr>
          <w:sz w:val="22"/>
        </w:rPr>
        <w:t>Safety and Health Orientation</w:t>
      </w:r>
    </w:p>
    <w:p>
      <w:pPr>
        <w:pStyle w:val="Heading2"/>
        <w:spacing w:before="140" w:after="60"/>
      </w:pPr>
      <w:r>
        <w:rPr>
          <w:color w:val="336049"/>
          <w:sz w:val="24"/>
        </w:rPr>
        <w:t>Mish 5</w:t>
      </w:r>
    </w:p>
    <w:p>
      <w:pPr>
        <w:spacing w:before="40" w:after="40" w:line="276" w:lineRule="auto"/>
      </w:pPr>
      <w:r>
        <w:rPr>
          <w:sz w:val="22"/>
        </w:rPr>
        <w:t>Pre-job Safety Planning</w:t>
      </w:r>
    </w:p>
    <w:p>
      <w:pPr>
        <w:pStyle w:val="Heading2"/>
        <w:spacing w:before="140" w:after="60"/>
      </w:pPr>
      <w:r>
        <w:rPr>
          <w:color w:val="336049"/>
          <w:sz w:val="24"/>
        </w:rPr>
        <w:t>Mish 6</w:t>
      </w:r>
    </w:p>
    <w:p>
      <w:pPr>
        <w:spacing w:before="40" w:after="40" w:line="276" w:lineRule="auto"/>
      </w:pPr>
      <w:r>
        <w:rPr>
          <w:sz w:val="22"/>
        </w:rPr>
        <w:t>Emergency Response</w:t>
      </w:r>
    </w:p>
    <w:p>
      <w:pPr>
        <w:pStyle w:val="Heading2"/>
        <w:spacing w:before="140" w:after="60"/>
      </w:pPr>
      <w:r>
        <w:rPr>
          <w:color w:val="336049"/>
          <w:sz w:val="24"/>
        </w:rPr>
        <w:t>Mish 7</w:t>
      </w:r>
    </w:p>
    <w:p>
      <w:pPr>
        <w:spacing w:before="40" w:after="40" w:line="276" w:lineRule="auto"/>
      </w:pPr>
      <w:r>
        <w:rPr>
          <w:sz w:val="22"/>
        </w:rPr>
        <w:t>Safety Bulletin Boards</w:t>
      </w:r>
    </w:p>
    <w:p>
      <w:pPr>
        <w:pStyle w:val="Heading2"/>
        <w:spacing w:before="140" w:after="60"/>
      </w:pPr>
      <w:r>
        <w:rPr>
          <w:color w:val="336049"/>
          <w:sz w:val="24"/>
        </w:rPr>
        <w:t>Mish 8</w:t>
      </w:r>
    </w:p>
    <w:p>
      <w:pPr>
        <w:spacing w:before="40" w:after="40" w:line="276" w:lineRule="auto"/>
      </w:pPr>
      <w:r>
        <w:rPr>
          <w:sz w:val="22"/>
        </w:rPr>
        <w:t>Event Reporting of Incidents, Accidents, and Near Misses</w:t>
      </w:r>
    </w:p>
    <w:p>
      <w:pPr>
        <w:pStyle w:val="Heading2"/>
        <w:spacing w:before="140" w:after="60"/>
      </w:pPr>
      <w:r>
        <w:rPr>
          <w:color w:val="336049"/>
          <w:sz w:val="24"/>
        </w:rPr>
        <w:t>Mish 9</w:t>
      </w:r>
    </w:p>
    <w:p>
      <w:pPr>
        <w:spacing w:before="40" w:after="40" w:line="276" w:lineRule="auto"/>
      </w:pPr>
      <w:r>
        <w:rPr>
          <w:sz w:val="22"/>
        </w:rPr>
        <w:t>Safety and Health Meetings/Inspections</w:t>
      </w:r>
    </w:p>
    <w:p>
      <w:pPr>
        <w:pStyle w:val="Heading2"/>
        <w:spacing w:before="140" w:after="60"/>
      </w:pPr>
      <w:r>
        <w:rPr>
          <w:color w:val="336049"/>
          <w:sz w:val="24"/>
        </w:rPr>
        <w:t>Mish 10</w:t>
      </w:r>
    </w:p>
    <w:p>
      <w:pPr>
        <w:spacing w:before="40" w:after="40" w:line="276" w:lineRule="auto"/>
      </w:pPr>
      <w:r>
        <w:rPr>
          <w:sz w:val="22"/>
        </w:rPr>
        <w:t>Personal Protective Equipment</w:t>
      </w:r>
    </w:p>
    <w:p>
      <w:pPr>
        <w:pStyle w:val="Heading2"/>
        <w:spacing w:before="140" w:after="60"/>
      </w:pPr>
      <w:r>
        <w:rPr>
          <w:color w:val="336049"/>
          <w:sz w:val="24"/>
        </w:rPr>
        <w:t>Mish 11</w:t>
      </w:r>
    </w:p>
    <w:p>
      <w:pPr>
        <w:spacing w:before="40" w:after="40" w:line="276" w:lineRule="auto"/>
      </w:pPr>
      <w:r>
        <w:rPr>
          <w:sz w:val="22"/>
        </w:rPr>
        <w:t>Fall Protection</w:t>
      </w:r>
    </w:p>
    <w:p>
      <w:pPr>
        <w:pStyle w:val="Heading2"/>
        <w:spacing w:before="140" w:after="60"/>
      </w:pPr>
      <w:r>
        <w:rPr>
          <w:color w:val="336049"/>
          <w:sz w:val="24"/>
        </w:rPr>
        <w:t>Mish 12</w:t>
      </w:r>
    </w:p>
    <w:p>
      <w:pPr>
        <w:spacing w:before="40" w:after="40" w:line="276" w:lineRule="auto"/>
      </w:pPr>
      <w:r>
        <w:rPr>
          <w:sz w:val="22"/>
        </w:rPr>
        <w:t>Flammable and Combustible liquids</w:t>
      </w:r>
    </w:p>
    <w:p>
      <w:pPr>
        <w:pStyle w:val="Heading2"/>
        <w:spacing w:before="140" w:after="60"/>
      </w:pPr>
      <w:r>
        <w:rPr>
          <w:color w:val="336049"/>
          <w:sz w:val="24"/>
        </w:rPr>
        <w:t>Mish 13</w:t>
      </w:r>
    </w:p>
    <w:p>
      <w:pPr>
        <w:spacing w:before="40" w:after="40" w:line="276" w:lineRule="auto"/>
      </w:pPr>
      <w:r>
        <w:rPr>
          <w:sz w:val="22"/>
        </w:rPr>
        <w:t>Fire Prevention</w:t>
      </w:r>
    </w:p>
    <w:p>
      <w:pPr>
        <w:pStyle w:val="Heading2"/>
        <w:spacing w:before="140" w:after="60"/>
      </w:pPr>
      <w:r>
        <w:rPr>
          <w:color w:val="336049"/>
          <w:sz w:val="24"/>
        </w:rPr>
        <w:t>Mish 14</w:t>
      </w:r>
    </w:p>
    <w:p>
      <w:pPr>
        <w:spacing w:before="40" w:after="40" w:line="276" w:lineRule="auto"/>
      </w:pPr>
      <w:r>
        <w:rPr>
          <w:sz w:val="22"/>
        </w:rPr>
        <w:t>Welding, Cutting, and Heating Operations</w:t>
      </w:r>
    </w:p>
    <w:p>
      <w:pPr>
        <w:pStyle w:val="Heading2"/>
        <w:spacing w:before="140" w:after="60"/>
      </w:pPr>
      <w:r>
        <w:rPr>
          <w:color w:val="336049"/>
          <w:sz w:val="24"/>
        </w:rPr>
        <w:t>Mish 15</w:t>
      </w:r>
    </w:p>
    <w:p>
      <w:pPr>
        <w:spacing w:before="40" w:after="40" w:line="276" w:lineRule="auto"/>
      </w:pPr>
      <w:r>
        <w:rPr>
          <w:sz w:val="22"/>
        </w:rPr>
        <w:t>Lock and Tag</w:t>
      </w:r>
    </w:p>
    <w:p>
      <w:pPr>
        <w:pStyle w:val="Heading2"/>
        <w:spacing w:before="140" w:after="60"/>
      </w:pPr>
      <w:r>
        <w:rPr>
          <w:color w:val="336049"/>
          <w:sz w:val="24"/>
        </w:rPr>
        <w:t>Mish 16</w:t>
      </w:r>
    </w:p>
    <w:p>
      <w:pPr>
        <w:spacing w:before="40" w:after="40" w:line="276" w:lineRule="auto"/>
      </w:pPr>
      <w:r>
        <w:rPr>
          <w:sz w:val="22"/>
        </w:rPr>
        <w:t>Confined Space Entry</w:t>
      </w:r>
    </w:p>
    <w:p>
      <w:pPr>
        <w:pStyle w:val="Heading2"/>
        <w:spacing w:before="140" w:after="60"/>
      </w:pPr>
      <w:r>
        <w:rPr>
          <w:color w:val="336049"/>
          <w:sz w:val="24"/>
        </w:rPr>
        <w:t>Mish 17</w:t>
      </w:r>
    </w:p>
    <w:p>
      <w:pPr>
        <w:spacing w:before="40" w:after="40" w:line="276" w:lineRule="auto"/>
      </w:pPr>
      <w:r>
        <w:rPr>
          <w:sz w:val="22"/>
        </w:rPr>
        <w:t>Use and Care of Ladders</w:t>
      </w:r>
    </w:p>
    <w:p>
      <w:pPr>
        <w:pStyle w:val="Heading2"/>
        <w:spacing w:before="140" w:after="60"/>
      </w:pPr>
      <w:r>
        <w:rPr>
          <w:color w:val="336049"/>
          <w:sz w:val="24"/>
        </w:rPr>
        <w:t>Mish 18</w:t>
      </w:r>
    </w:p>
    <w:p>
      <w:pPr>
        <w:spacing w:before="40" w:after="40" w:line="276" w:lineRule="auto"/>
      </w:pPr>
      <w:r>
        <w:rPr>
          <w:sz w:val="22"/>
        </w:rPr>
        <w:t>Motor Vehicle Safety Program</w:t>
      </w:r>
    </w:p>
    <w:p>
      <w:pPr>
        <w:pStyle w:val="Heading2"/>
        <w:spacing w:before="140" w:after="60"/>
      </w:pPr>
      <w:r>
        <w:rPr>
          <w:color w:val="336049"/>
          <w:sz w:val="24"/>
        </w:rPr>
        <w:t>Mish 19</w:t>
      </w:r>
    </w:p>
    <w:p>
      <w:pPr>
        <w:spacing w:before="40" w:after="40" w:line="276" w:lineRule="auto"/>
      </w:pPr>
      <w:r>
        <w:rPr>
          <w:sz w:val="22"/>
        </w:rPr>
        <w:t>Equipment Maintenance and Inspection</w:t>
      </w:r>
    </w:p>
    <w:p>
      <w:pPr>
        <w:pStyle w:val="Heading2"/>
        <w:spacing w:before="140" w:after="60"/>
      </w:pPr>
      <w:r>
        <w:rPr>
          <w:color w:val="336049"/>
          <w:sz w:val="24"/>
        </w:rPr>
        <w:t>Mish 20</w:t>
      </w:r>
    </w:p>
    <w:p>
      <w:pPr>
        <w:spacing w:before="40" w:after="40" w:line="276" w:lineRule="auto"/>
      </w:pPr>
      <w:r>
        <w:rPr>
          <w:sz w:val="22"/>
        </w:rPr>
        <w:t>Aerial Lifts and Elevating Work Platforms</w:t>
      </w:r>
    </w:p>
    <w:p>
      <w:pPr>
        <w:pStyle w:val="Heading2"/>
        <w:spacing w:before="140" w:after="60"/>
      </w:pPr>
      <w:r>
        <w:rPr>
          <w:color w:val="336049"/>
          <w:sz w:val="24"/>
        </w:rPr>
        <w:t>Mish 21</w:t>
      </w:r>
    </w:p>
    <w:p>
      <w:pPr>
        <w:spacing w:before="40" w:after="40" w:line="276" w:lineRule="auto"/>
      </w:pPr>
      <w:r>
        <w:rPr>
          <w:sz w:val="22"/>
        </w:rPr>
        <w:t>Crane Suspended Work Platforms</w:t>
      </w:r>
    </w:p>
    <w:p>
      <w:pPr>
        <w:pStyle w:val="Heading2"/>
        <w:spacing w:before="140" w:after="60"/>
      </w:pPr>
      <w:r>
        <w:rPr>
          <w:color w:val="336049"/>
          <w:sz w:val="24"/>
        </w:rPr>
        <w:t>Mish 22</w:t>
      </w:r>
    </w:p>
    <w:p>
      <w:pPr>
        <w:spacing w:before="40" w:after="40" w:line="276" w:lineRule="auto"/>
      </w:pPr>
      <w:r>
        <w:rPr>
          <w:sz w:val="22"/>
        </w:rPr>
        <w:t>Use and Handling of Scaffolds</w:t>
      </w:r>
    </w:p>
    <w:p>
      <w:pPr>
        <w:pStyle w:val="Heading2"/>
        <w:spacing w:before="140" w:after="60"/>
      </w:pPr>
      <w:r>
        <w:rPr>
          <w:color w:val="336049"/>
          <w:sz w:val="24"/>
        </w:rPr>
        <w:t>Mish 23</w:t>
      </w:r>
    </w:p>
    <w:p>
      <w:pPr>
        <w:spacing w:before="40" w:after="40" w:line="276" w:lineRule="auto"/>
      </w:pPr>
      <w:r>
        <w:rPr>
          <w:sz w:val="22"/>
        </w:rPr>
        <w:t>Industrial Hygiene Program</w:t>
      </w:r>
    </w:p>
    <w:p>
      <w:pPr>
        <w:pStyle w:val="Heading2"/>
        <w:spacing w:before="140" w:after="60"/>
      </w:pPr>
      <w:r>
        <w:rPr>
          <w:color w:val="336049"/>
          <w:sz w:val="24"/>
        </w:rPr>
        <w:t>Mish 24</w:t>
      </w:r>
    </w:p>
    <w:p>
      <w:pPr>
        <w:spacing w:before="40" w:after="40" w:line="276" w:lineRule="auto"/>
      </w:pPr>
      <w:r>
        <w:rPr>
          <w:sz w:val="22"/>
        </w:rPr>
        <w:t>Hazard Communication Program</w:t>
      </w:r>
    </w:p>
    <w:p>
      <w:pPr>
        <w:pStyle w:val="Heading2"/>
        <w:spacing w:before="140" w:after="60"/>
      </w:pPr>
      <w:r>
        <w:rPr>
          <w:color w:val="336049"/>
          <w:sz w:val="24"/>
        </w:rPr>
        <w:t>Mish 25</w:t>
      </w:r>
    </w:p>
    <w:p>
      <w:pPr>
        <w:pStyle w:val="Heading2"/>
        <w:spacing w:before="140" w:after="60"/>
      </w:pPr>
      <w:r>
        <w:rPr>
          <w:color w:val="336049"/>
          <w:sz w:val="24"/>
        </w:rPr>
        <w:t>Reserved</w:t>
      </w:r>
    </w:p>
    <w:p>
      <w:pPr>
        <w:pStyle w:val="Heading2"/>
        <w:spacing w:before="140" w:after="60"/>
      </w:pPr>
      <w:r>
        <w:rPr>
          <w:color w:val="336049"/>
          <w:sz w:val="24"/>
        </w:rPr>
        <w:t>Mish 26</w:t>
      </w:r>
    </w:p>
    <w:p>
      <w:pPr>
        <w:spacing w:before="40" w:after="40" w:line="276" w:lineRule="auto"/>
      </w:pPr>
      <w:r>
        <w:rPr>
          <w:sz w:val="22"/>
        </w:rPr>
        <w:t>Excavation, Trenching, and Shoring</w:t>
      </w:r>
    </w:p>
    <w:p>
      <w:pPr>
        <w:pStyle w:val="Heading2"/>
        <w:spacing w:before="140" w:after="60"/>
      </w:pPr>
      <w:r>
        <w:rPr>
          <w:color w:val="336049"/>
          <w:sz w:val="24"/>
        </w:rPr>
        <w:t>Mish 27</w:t>
      </w:r>
    </w:p>
    <w:p>
      <w:pPr>
        <w:spacing w:before="40" w:after="40" w:line="276" w:lineRule="auto"/>
      </w:pPr>
      <w:r>
        <w:rPr>
          <w:sz w:val="22"/>
        </w:rPr>
        <w:t>Construction Equipment Modifications and</w:t>
      </w:r>
    </w:p>
    <w:p>
      <w:pPr>
        <w:spacing w:before="40" w:after="40" w:line="276" w:lineRule="auto"/>
      </w:pPr>
      <w:r>
        <w:rPr>
          <w:sz w:val="22"/>
        </w:rPr>
        <w:t>Fabrication</w:t>
      </w:r>
    </w:p>
    <w:p>
      <w:pPr>
        <w:pStyle w:val="Heading2"/>
        <w:spacing w:before="140" w:after="60"/>
      </w:pPr>
      <w:r>
        <w:rPr>
          <w:color w:val="336049"/>
          <w:sz w:val="24"/>
        </w:rPr>
        <w:t>Mish 28</w:t>
      </w:r>
    </w:p>
    <w:p>
      <w:pPr>
        <w:spacing w:before="40" w:after="40" w:line="276" w:lineRule="auto"/>
      </w:pPr>
      <w:r>
        <w:rPr>
          <w:sz w:val="22"/>
        </w:rPr>
        <w:t>Housekeeping</w:t>
      </w:r>
    </w:p>
    <w:p>
      <w:pPr>
        <w:pStyle w:val="Heading2"/>
        <w:spacing w:before="140" w:after="60"/>
      </w:pPr>
      <w:r>
        <w:rPr>
          <w:color w:val="336049"/>
          <w:sz w:val="24"/>
        </w:rPr>
        <w:t>Mish 29</w:t>
      </w:r>
    </w:p>
    <w:p>
      <w:pPr>
        <w:spacing w:before="40" w:after="40" w:line="276" w:lineRule="auto"/>
      </w:pPr>
      <w:r>
        <w:rPr>
          <w:sz w:val="22"/>
        </w:rPr>
        <w:t>Electrical Safety</w:t>
      </w:r>
    </w:p>
    <w:p>
      <w:pPr>
        <w:pStyle w:val="Heading2"/>
        <w:spacing w:before="140" w:after="60"/>
      </w:pPr>
      <w:r>
        <w:rPr>
          <w:color w:val="336049"/>
          <w:sz w:val="24"/>
        </w:rPr>
        <w:t>Mish 30</w:t>
      </w:r>
    </w:p>
    <w:p>
      <w:pPr>
        <w:spacing w:before="40" w:after="40" w:line="276" w:lineRule="auto"/>
      </w:pPr>
      <w:r>
        <w:rPr>
          <w:sz w:val="22"/>
        </w:rPr>
        <w:t>Signs, Signals, and Barricades</w:t>
      </w:r>
    </w:p>
    <w:p>
      <w:pPr>
        <w:pStyle w:val="Heading2"/>
        <w:spacing w:before="140" w:after="60"/>
      </w:pPr>
      <w:r>
        <w:rPr>
          <w:color w:val="336049"/>
          <w:sz w:val="24"/>
        </w:rPr>
        <w:t>Mish 31</w:t>
      </w:r>
    </w:p>
    <w:p>
      <w:pPr>
        <w:spacing w:before="40" w:after="40" w:line="276" w:lineRule="auto"/>
      </w:pPr>
      <w:r>
        <w:rPr>
          <w:sz w:val="22"/>
        </w:rPr>
        <w:t>Miscellaneous Construction Requirements</w:t>
      </w:r>
    </w:p>
    <w:p>
      <w:pPr>
        <w:pStyle w:val="Heading2"/>
        <w:spacing w:before="140" w:after="60"/>
      </w:pPr>
      <w:r>
        <w:rPr>
          <w:color w:val="336049"/>
          <w:sz w:val="24"/>
        </w:rPr>
        <w:t>Mish 32</w:t>
      </w:r>
    </w:p>
    <w:p>
      <w:pPr>
        <w:spacing w:before="40" w:after="40" w:line="276" w:lineRule="auto"/>
      </w:pPr>
      <w:r>
        <w:rPr>
          <w:sz w:val="22"/>
        </w:rPr>
        <w:t>Respiratory Protection</w:t>
      </w:r>
    </w:p>
    <w:p>
      <w:pPr>
        <w:pStyle w:val="Heading2"/>
        <w:spacing w:before="140" w:after="60"/>
      </w:pPr>
      <w:r>
        <w:rPr>
          <w:color w:val="336049"/>
          <w:sz w:val="24"/>
        </w:rPr>
        <w:t>Mish 33</w:t>
      </w:r>
    </w:p>
    <w:p>
      <w:pPr>
        <w:spacing w:before="40" w:after="40" w:line="276" w:lineRule="auto"/>
      </w:pPr>
      <w:r>
        <w:rPr>
          <w:sz w:val="22"/>
        </w:rPr>
        <w:t>Floor Openings, Open-sided Surfaces, and Ramps</w:t>
      </w:r>
    </w:p>
    <w:p>
      <w:pPr>
        <w:pStyle w:val="Heading2"/>
        <w:spacing w:before="140" w:after="60"/>
      </w:pPr>
      <w:r>
        <w:rPr>
          <w:color w:val="336049"/>
          <w:sz w:val="24"/>
        </w:rPr>
        <w:t>Mish 34</w:t>
      </w:r>
    </w:p>
    <w:p>
      <w:pPr>
        <w:spacing w:before="40" w:after="40" w:line="276" w:lineRule="auto"/>
      </w:pPr>
      <w:r>
        <w:rPr>
          <w:sz w:val="22"/>
        </w:rPr>
        <w:t>Compressed Gas/Compressed Air</w:t>
      </w:r>
    </w:p>
    <w:p>
      <w:pPr>
        <w:pStyle w:val="Heading2"/>
        <w:spacing w:before="140" w:after="60"/>
      </w:pPr>
      <w:r>
        <w:rPr>
          <w:color w:val="336049"/>
          <w:sz w:val="24"/>
        </w:rPr>
        <w:t>Mish 35</w:t>
      </w:r>
    </w:p>
    <w:p>
      <w:pPr>
        <w:pStyle w:val="Heading2"/>
        <w:spacing w:before="140" w:after="60"/>
      </w:pPr>
      <w:r>
        <w:rPr>
          <w:color w:val="336049"/>
          <w:sz w:val="24"/>
        </w:rPr>
        <w:t>Reserved</w:t>
      </w:r>
    </w:p>
    <w:p>
      <w:pPr>
        <w:pStyle w:val="Heading2"/>
        <w:spacing w:before="140" w:after="60"/>
      </w:pPr>
      <w:r>
        <w:rPr>
          <w:color w:val="336049"/>
          <w:sz w:val="24"/>
        </w:rPr>
        <w:t>Mish 36</w:t>
      </w:r>
    </w:p>
    <w:p>
      <w:pPr>
        <w:pStyle w:val="Heading2"/>
        <w:spacing w:before="140" w:after="60"/>
      </w:pPr>
      <w:r>
        <w:rPr>
          <w:color w:val="336049"/>
          <w:sz w:val="24"/>
        </w:rPr>
        <w:t>Reserved</w:t>
      </w:r>
    </w:p>
    <w:p>
      <w:pPr>
        <w:pStyle w:val="Heading2"/>
        <w:spacing w:before="140" w:after="60"/>
      </w:pPr>
      <w:r>
        <w:rPr>
          <w:color w:val="336049"/>
          <w:sz w:val="24"/>
        </w:rPr>
        <w:t>Mish 37</w:t>
      </w:r>
    </w:p>
    <w:p>
      <w:pPr>
        <w:pStyle w:val="Heading2"/>
        <w:spacing w:before="140" w:after="60"/>
      </w:pPr>
      <w:r>
        <w:rPr>
          <w:color w:val="336049"/>
          <w:sz w:val="24"/>
        </w:rPr>
        <w:t>Reserved</w:t>
      </w:r>
    </w:p>
    <w:p>
      <w:pPr>
        <w:pStyle w:val="Heading2"/>
        <w:spacing w:before="140" w:after="60"/>
      </w:pPr>
      <w:r>
        <w:rPr>
          <w:color w:val="336049"/>
          <w:sz w:val="24"/>
        </w:rPr>
        <w:t>Mish 38</w:t>
      </w:r>
    </w:p>
    <w:p>
      <w:pPr>
        <w:spacing w:before="40" w:after="40" w:line="276" w:lineRule="auto"/>
      </w:pPr>
      <w:r>
        <w:rPr>
          <w:sz w:val="22"/>
        </w:rPr>
        <w:t>Hand and Portable Power Tools</w:t>
      </w:r>
    </w:p>
    <w:p>
      <w:pPr>
        <w:pStyle w:val="Heading2"/>
        <w:spacing w:before="140" w:after="60"/>
      </w:pPr>
      <w:r>
        <w:rPr>
          <w:color w:val="336049"/>
          <w:sz w:val="24"/>
        </w:rPr>
        <w:t>Mish 39</w:t>
      </w:r>
    </w:p>
    <w:p>
      <w:pPr>
        <w:spacing w:before="40" w:after="40" w:line="276" w:lineRule="auto"/>
      </w:pPr>
      <w:r>
        <w:rPr>
          <w:sz w:val="22"/>
        </w:rPr>
        <w:t>Concrete and Masonry Construction</w:t>
      </w:r>
    </w:p>
    <w:p>
      <w:pPr>
        <w:pStyle w:val="Heading2"/>
        <w:spacing w:before="140" w:after="60"/>
      </w:pPr>
      <w:r>
        <w:rPr>
          <w:color w:val="336049"/>
          <w:sz w:val="24"/>
        </w:rPr>
        <w:t>Mish 40</w:t>
      </w:r>
    </w:p>
    <w:p>
      <w:pPr>
        <w:spacing w:before="40" w:after="40" w:line="276" w:lineRule="auto"/>
      </w:pPr>
      <w:r>
        <w:rPr>
          <w:sz w:val="22"/>
        </w:rPr>
        <w:t>Mechanized Equipment</w:t>
      </w:r>
    </w:p>
    <w:p>
      <w:pPr>
        <w:pStyle w:val="Heading2"/>
        <w:spacing w:before="140" w:after="60"/>
      </w:pPr>
      <w:r>
        <w:rPr>
          <w:color w:val="336049"/>
          <w:sz w:val="24"/>
        </w:rPr>
        <w:t>Mish 41</w:t>
      </w:r>
    </w:p>
    <w:p>
      <w:pPr>
        <w:spacing w:before="40" w:after="40" w:line="276" w:lineRule="auto"/>
      </w:pPr>
      <w:r>
        <w:rPr>
          <w:sz w:val="22"/>
        </w:rPr>
        <w:t>Flushing and Pressure Testing</w:t>
      </w:r>
    </w:p>
    <w:p>
      <w:pPr>
        <w:pStyle w:val="Heading2"/>
        <w:spacing w:before="140" w:after="60"/>
      </w:pPr>
      <w:r>
        <w:rPr>
          <w:color w:val="336049"/>
          <w:sz w:val="24"/>
        </w:rPr>
        <w:t>Mish 42</w:t>
      </w:r>
    </w:p>
    <w:p>
      <w:pPr>
        <w:spacing w:before="40" w:after="40" w:line="276" w:lineRule="auto"/>
      </w:pPr>
      <w:r>
        <w:rPr>
          <w:sz w:val="22"/>
        </w:rPr>
        <w:t>CDL Drug Testing Program</w:t>
      </w:r>
    </w:p>
    <w:p>
      <w:pPr>
        <w:pStyle w:val="Heading2"/>
        <w:spacing w:before="140" w:after="60"/>
      </w:pPr>
      <w:r>
        <w:rPr>
          <w:color w:val="336049"/>
          <w:sz w:val="24"/>
        </w:rPr>
        <w:t>Orientation Checklist Sign-Off Sheet</w:t>
      </w:r>
    </w:p>
    <w:p>
      <w:pPr>
        <w:spacing w:before="40" w:after="40" w:line="276" w:lineRule="auto"/>
      </w:pPr>
      <w:r>
        <w:rPr>
          <w:sz w:val="22"/>
        </w:rPr>
        <w:t>NAME</w:t>
      </w:r>
    </w:p>
    <w:p>
      <w:pPr>
        <w:pStyle w:val="Heading2"/>
        <w:spacing w:before="140" w:after="60"/>
      </w:pPr>
      <w:r>
        <w:rPr>
          <w:color w:val="336049"/>
          <w:sz w:val="24"/>
        </w:rPr>
        <w:t>Signature</w:t>
      </w:r>
    </w:p>
    <w:p>
      <w:pPr>
        <w:spacing w:before="40" w:after="40" w:line="276" w:lineRule="auto"/>
      </w:pPr>
      <w:r>
        <w:rPr>
          <w:sz w:val="22"/>
        </w:rPr>
        <w:t>DATE</w:t>
      </w:r>
    </w:p>
    <w:p>
      <w:pPr>
        <w:pStyle w:val="Heading2"/>
        <w:spacing w:before="140" w:after="60"/>
      </w:pPr>
      <w:r>
        <w:rPr>
          <w:color w:val="336049"/>
          <w:sz w:val="24"/>
        </w:rPr>
        <w:t>Company</w:t>
      </w:r>
    </w:p>
    <w:p>
      <w:pPr>
        <w:pStyle w:val="Heading2"/>
        <w:spacing w:before="140" w:after="60"/>
      </w:pPr>
      <w:r>
        <w:rPr>
          <w:color w:val="336049"/>
          <w:sz w:val="24"/>
        </w:rPr>
        <w:t>Ss # Last 4</w:t>
      </w:r>
    </w:p>
    <w:p>
      <w:pPr>
        <w:pStyle w:val="Heading3"/>
        <w:spacing w:before="100" w:after="40"/>
      </w:pPr>
      <w:r>
        <w:rPr>
          <w:color w:val="333333"/>
          <w:sz w:val="22"/>
        </w:rPr>
        <w:t>Training &amp; Reference Resources</w:t>
      </w:r>
    </w:p>
    <w:p>
      <w:pPr>
        <w:spacing w:before="20" w:after="20"/>
      </w:pPr>
      <w:r>
        <w:rPr>
          <w:b/>
        </w:rPr>
        <w:t xml:space="preserve">Travelers Risk Control: </w:t>
      </w:r>
      <w:hyperlink r:id="rId11">
        <w:r>
          <w:rPr>
            <w:rStyle w:val="Hyperlink"/>
            <w:color w:val="0563C1"/>
            <w:u w:val="single"/>
          </w:rPr>
          <w:t xml:space="preserve">https://www.travelers.com/resources/business-industries/construction/how-to-onboard-construction-workers</w:t>
        </w:r>
      </w:hyperlink>
    </w:p>
    <w:p>
      <w:pPr>
        <w:spacing w:before="20" w:after="20"/>
      </w:pPr>
      <w:r>
        <w:rPr>
          <w:b/>
        </w:rPr>
        <w:t xml:space="preserve">Travelers Training Library: </w:t>
      </w:r>
      <w:hyperlink r:id="rId12">
        <w:r>
          <w:rPr>
            <w:rStyle w:val="Hyperlink"/>
            <w:color w:val="0563C1"/>
            <w:u w:val="single"/>
          </w:rPr>
          <w:t xml:space="preserve">https://www.travelers.com/risk-control/safety-education-training</w:t>
        </w:r>
      </w:hyperlink>
    </w:p>
    <w:p>
      <w:pPr>
        <w:spacing w:before="20" w:after="20"/>
      </w:pPr>
      <w:r>
        <w:rPr>
          <w:b/>
        </w:rPr>
        <w:t xml:space="preserve">OSHA Reference: </w:t>
      </w:r>
      <w:hyperlink r:id="rId13">
        <w:r>
          <w:rPr>
            <w:rStyle w:val="Hyperlink"/>
            <w:color w:val="0563C1"/>
            <w:u w:val="single"/>
          </w:rPr>
          <w:t xml:space="preserve">https://www.osha.gov/construction</w:t>
        </w:r>
      </w:hyperlink>
    </w:p>
    <w:p>
      <w:pPr>
        <w:spacing w:before="20" w:after="20"/>
      </w:pPr>
      <w:r>
        <w:rPr>
          <w:b/>
        </w:rPr>
        <w:t xml:space="preserve">OSHA Reference: </w:t>
      </w:r>
      <w:hyperlink r:id="rId14">
        <w:r>
          <w:rPr>
            <w:rStyle w:val="Hyperlink"/>
            <w:color w:val="0563C1"/>
            <w:u w:val="single"/>
          </w:rPr>
          <w:t xml:space="preserve">https://www.osha.gov/laws-regs/regulations/standardnumber/1926</w:t>
        </w:r>
      </w:hyperlink>
    </w:p>
    <w:p>
      <w:pPr>
        <w:spacing w:before="20" w:after="20"/>
      </w:pPr>
      <w:r>
        <w:rPr>
          <w:b/>
        </w:rPr>
        <w:t xml:space="preserve">AGC Safety Resources: </w:t>
      </w:r>
      <w:hyperlink r:id="rId15">
        <w:r>
          <w:rPr>
            <w:rStyle w:val="Hyperlink"/>
            <w:color w:val="0563C1"/>
            <w:u w:val="single"/>
          </w:rPr>
          <w:t xml:space="preserve">https://www.agc.org/learn/education-training/safety-health</w:t>
        </w:r>
      </w:hyperlink>
    </w:p>
    <w:p>
      <w:pPr>
        <w:spacing w:before="20" w:after="20"/>
      </w:pPr>
      <w:r>
        <w:rPr>
          <w:b/>
        </w:rPr>
        <w:t xml:space="preserve">WISHA / WA L&amp;I: </w:t>
      </w:r>
      <w:hyperlink r:id="rId16">
        <w:r>
          <w:rPr>
            <w:rStyle w:val="Hyperlink"/>
            <w:color w:val="0563C1"/>
            <w:u w:val="single"/>
          </w:rPr>
          <w:t xml:space="preserve">https://lni.wa.gov/safety-health/</w:t>
        </w:r>
      </w:hyperlink>
    </w:p>
    <w:p>
      <w:pPr>
        <w:spacing w:before="30" w:after="30"/>
      </w:pPr>
      <w:r>
        <w:rPr>
          <w:i/>
          <w:color w:val="333333"/>
          <w:sz w:val="18"/>
        </w:rPr>
        <w:t>NOTE: WISHA citations apply only where WAC 296-155 is MORE STRINGENT than OSHA 29 CFR 1926.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osha.gov/construction"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travelers.com/risk-control/safety-education-training"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lni.wa.gov/safety-health/"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travelers.com/resources/business-industries/construction/how-to-onboard-construction-workers" TargetMode="External"/><Relationship Id="rId5" Type="http://schemas.openxmlformats.org/officeDocument/2006/relationships/settings" Target="settings.xml"/><Relationship Id="rId15" Type="http://schemas.openxmlformats.org/officeDocument/2006/relationships/hyperlink" Target="https://www.agc.org/learn/education-training/safety-health" TargetMode="External"/><Relationship Id="rId10" Type="http://schemas.openxmlformats.org/officeDocument/2006/relationships/footer" Target="foot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www.osha.gov/laws-regs/regulations/standardnumber/19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8875EF3-3DD0-4D28-A18C-A696178E1386}"/>
</file>

<file path=customXml/itemProps3.xml><?xml version="1.0" encoding="utf-8"?>
<ds:datastoreItem xmlns:ds="http://schemas.openxmlformats.org/officeDocument/2006/customXml" ds:itemID="{ED12F103-B103-4F99-9A70-FB62FB1BB859}"/>
</file>

<file path=customXml/itemProps4.xml><?xml version="1.0" encoding="utf-8"?>
<ds:datastoreItem xmlns:ds="http://schemas.openxmlformats.org/officeDocument/2006/customXml" ds:itemID="{3424FB51-3BBE-4447-AB46-B14B75BDAFC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