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19 — Housekeeping</w:t>
      </w:r>
    </w:p>
    <w:p>
      <w:pPr>
        <w:spacing w:before="0" w:after="20"/>
      </w:pPr>
      <w:r>
        <w:rPr>
          <w:color w:val="333333"/>
          <w:sz w:val="18"/>
        </w:rPr>
        <w:t>Chapter 3: Hazard Identification &amp; Control  |  29 CFR 1926.25  |  AGC: Hazard Control</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19</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﻿Mh Construction Industrial Safety And Health Program</w:t>
      </w:r>
    </w:p>
    <w:p>
      <w:pPr>
        <w:spacing w:before="40" w:after="40" w:line="276" w:lineRule="auto"/>
      </w:pPr>
      <w:r>
        <w:rPr>
          <w:sz w:val="22"/>
        </w:rPr>
        <w:t>Title</w:t>
      </w:r>
    </w:p>
    <w:p>
      <w:pPr>
        <w:pStyle w:val="Heading2"/>
        <w:spacing w:before="140" w:after="60"/>
      </w:pPr>
      <w:r>
        <w:rPr>
          <w:color w:val="336049"/>
          <w:sz w:val="24"/>
        </w:rPr>
        <w:t>Housekeeping</w:t>
      </w:r>
    </w:p>
    <w:p>
      <w:pPr>
        <w:spacing w:before="40" w:after="40" w:line="276" w:lineRule="auto"/>
      </w:pPr>
      <w:r>
        <w:rPr>
          <w:sz w:val="22"/>
        </w:rPr>
        <w:t>Number</w:t>
      </w:r>
    </w:p>
    <w:p>
      <w:pPr>
        <w:pStyle w:val="Heading2"/>
        <w:spacing w:before="140" w:after="60"/>
      </w:pPr>
      <w:r>
        <w:rPr>
          <w:color w:val="336049"/>
          <w:sz w:val="24"/>
        </w:rPr>
        <w:t>Mish 28</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2</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establish the requirements for housekeeping.  Further, to ensure compliance with the Occupational Safety and Health Administration/Washington Industrial Safety and Health Act (OSHA/WISHA) requirements.</w:t>
      </w:r>
    </w:p>
    <w:p>
      <w:pPr>
        <w:spacing w:before="50" w:after="40" w:line="276" w:lineRule="auto"/>
        <w:ind w:left="720" w:hanging="720"/>
      </w:pPr>
      <w:r>
        <w:rPr>
          <w:b/>
          <w:sz w:val="22"/>
        </w:rPr>
        <w:t xml:space="preserve">2.0  </w:t>
      </w:r>
      <w:r>
        <w:rPr>
          <w:b w:val="0"/>
          <w:sz w:val="22"/>
        </w:rPr>
        <w:t>RESPONSIBILITY</w:t>
      </w:r>
    </w:p>
    <w:p>
      <w:pPr>
        <w:spacing w:before="50" w:after="40" w:line="276" w:lineRule="auto"/>
        <w:ind w:left="720" w:hanging="720"/>
      </w:pPr>
      <w:r>
        <w:rPr>
          <w:b/>
          <w:sz w:val="22"/>
        </w:rPr>
        <w:t xml:space="preserve">2.1  </w:t>
      </w:r>
      <w:r>
        <w:rPr>
          <w:b w:val="0"/>
          <w:sz w:val="22"/>
        </w:rPr>
        <w:t>The Key Supervisor shall ensure compliance with this procedure.</w:t>
      </w:r>
    </w:p>
    <w:p>
      <w:pPr>
        <w:spacing w:before="50" w:after="40" w:line="276" w:lineRule="auto"/>
        <w:ind w:left="720" w:hanging="720"/>
      </w:pPr>
      <w:r>
        <w:rPr>
          <w:b/>
          <w:sz w:val="22"/>
        </w:rPr>
        <w:t xml:space="preserve">2.2  </w:t>
      </w:r>
      <w:r>
        <w:rPr>
          <w:b w:val="0"/>
          <w:sz w:val="22"/>
        </w:rPr>
        <w:t>Employees are responsible for complying with this procedure.</w:t>
      </w:r>
    </w:p>
    <w:p>
      <w:pPr>
        <w:spacing w:before="50" w:after="40" w:line="276" w:lineRule="auto"/>
        <w:ind w:left="720" w:hanging="720"/>
      </w:pPr>
      <w:r>
        <w:rPr>
          <w:b/>
          <w:sz w:val="22"/>
        </w:rPr>
        <w:t xml:space="preserve">3.0  </w:t>
      </w:r>
      <w:r>
        <w:rPr>
          <w:b w:val="0"/>
          <w:sz w:val="22"/>
        </w:rPr>
        <w:t>DEFINITIONS</w:t>
      </w:r>
    </w:p>
    <w:p>
      <w:pPr>
        <w:spacing w:before="40" w:after="40" w:line="276" w:lineRule="auto"/>
      </w:pPr>
      <w:r>
        <w:rPr>
          <w:sz w:val="22"/>
        </w:rPr>
        <w:t>Not Applicable</w:t>
      </w:r>
    </w:p>
    <w:p>
      <w:pPr>
        <w:spacing w:before="50" w:after="40" w:line="276" w:lineRule="auto"/>
        <w:ind w:left="720" w:hanging="720"/>
      </w:pPr>
      <w:r>
        <w:rPr>
          <w:b/>
          <w:sz w:val="22"/>
        </w:rPr>
        <w:t xml:space="preserve">4.0  </w:t>
      </w:r>
      <w:r>
        <w:rPr>
          <w:b w:val="0"/>
          <w:sz w:val="22"/>
        </w:rPr>
        <w:t>GENERAL REQUIREMENTS</w:t>
      </w:r>
    </w:p>
    <w:p>
      <w:pPr>
        <w:spacing w:before="50" w:after="40" w:line="276" w:lineRule="auto"/>
        <w:ind w:left="720" w:hanging="720"/>
      </w:pPr>
      <w:r>
        <w:rPr>
          <w:b/>
          <w:sz w:val="22"/>
        </w:rPr>
        <w:t xml:space="preserve">4.1  </w:t>
      </w:r>
      <w:r>
        <w:rPr>
          <w:b w:val="0"/>
          <w:sz w:val="22"/>
        </w:rPr>
        <w:t>Housekeeping activities shall comply with the following statutory requirements:</w:t>
      </w:r>
    </w:p>
    <w:p>
      <w:pPr>
        <w:pStyle w:val="ListBullet"/>
        <w:spacing w:before="20" w:after="20"/>
        <w:ind w:left="720" w:hanging="360"/>
      </w:pPr>
      <w:r>
        <w:rPr>
          <w:sz w:val="22"/>
        </w:rPr>
        <w:t>29 Code of Federal Regulations (CFR) 1926, Subpart C; General Safety and health Provisions</w:t>
      </w:r>
    </w:p>
    <w:p>
      <w:pPr>
        <w:pStyle w:val="ListBullet"/>
        <w:spacing w:before="20" w:after="20"/>
        <w:ind w:left="720" w:hanging="360"/>
      </w:pPr>
      <w:r>
        <w:rPr>
          <w:sz w:val="22"/>
        </w:rPr>
        <w:t>Washington Administrative Code (WAC) 296-155, Part B-1; Occupational health and Environmental Control</w:t>
      </w:r>
    </w:p>
    <w:p>
      <w:pPr>
        <w:spacing w:before="50" w:after="40" w:line="276" w:lineRule="auto"/>
        <w:ind w:left="720" w:hanging="720"/>
      </w:pPr>
      <w:r>
        <w:rPr>
          <w:b/>
          <w:sz w:val="22"/>
        </w:rPr>
        <w:t xml:space="preserve">4.2  </w:t>
      </w:r>
      <w:r>
        <w:rPr>
          <w:b w:val="0"/>
          <w:sz w:val="22"/>
        </w:rPr>
        <w:t>During the course of construction, alteration, repair or demolition of buildings and structures, continuous clean-up of the work area shall be performed; including removal of all rubble, scrap, boxes, crates, and excess material to trash disposal area.</w:t>
      </w:r>
    </w:p>
    <w:p>
      <w:pPr>
        <w:spacing w:before="50" w:after="40" w:line="276" w:lineRule="auto"/>
        <w:ind w:left="720" w:hanging="720"/>
      </w:pPr>
      <w:r>
        <w:rPr>
          <w:b/>
          <w:sz w:val="22"/>
        </w:rPr>
        <w:t xml:space="preserve">4.3  </w:t>
      </w:r>
      <w:r>
        <w:rPr>
          <w:b w:val="0"/>
          <w:sz w:val="22"/>
        </w:rPr>
        <w:t>At the end of each work shift, a general clean-up of all work areas shall be performed.</w:t>
      </w:r>
    </w:p>
    <w:p>
      <w:pPr>
        <w:spacing w:before="50" w:after="40" w:line="276" w:lineRule="auto"/>
        <w:ind w:left="720" w:hanging="720"/>
      </w:pPr>
      <w:r>
        <w:rPr>
          <w:b/>
          <w:sz w:val="22"/>
        </w:rPr>
        <w:t xml:space="preserve">4.4  </w:t>
      </w:r>
      <w:r>
        <w:rPr>
          <w:b w:val="0"/>
          <w:sz w:val="22"/>
        </w:rPr>
        <w:t>All floors and walkways shall be maintained in good conditions (secured footing shall be ensured on all floors and walkways)</w:t>
      </w:r>
    </w:p>
    <w:p>
      <w:pPr>
        <w:spacing w:before="50" w:after="40" w:line="276" w:lineRule="auto"/>
        <w:ind w:left="720" w:hanging="720"/>
      </w:pPr>
      <w:r>
        <w:rPr>
          <w:b/>
          <w:sz w:val="22"/>
        </w:rPr>
        <w:t xml:space="preserve">4.5  </w:t>
      </w:r>
      <w:r>
        <w:rPr>
          <w:b w:val="0"/>
          <w:sz w:val="22"/>
        </w:rPr>
        <w:t>Every floor, working surface, and passageway shall be kept free from protruding nails, splinters, loose boards or openings.</w:t>
      </w:r>
    </w:p>
    <w:p>
      <w:pPr>
        <w:spacing w:before="50" w:after="40" w:line="276" w:lineRule="auto"/>
        <w:ind w:left="720" w:hanging="720"/>
      </w:pPr>
      <w:r>
        <w:rPr>
          <w:b/>
          <w:sz w:val="22"/>
        </w:rPr>
        <w:t xml:space="preserve">4.6  </w:t>
      </w:r>
      <w:r>
        <w:rPr>
          <w:b w:val="0"/>
          <w:sz w:val="22"/>
        </w:rPr>
        <w:t>Cleaning and sweeping shall be performed in such a manner as to minimize the contamination of the air with dust.</w:t>
      </w:r>
    </w:p>
    <w:p>
      <w:pPr>
        <w:spacing w:before="50" w:after="40" w:line="276" w:lineRule="auto"/>
        <w:ind w:left="720" w:hanging="720"/>
      </w:pPr>
      <w:r>
        <w:rPr>
          <w:b/>
          <w:sz w:val="22"/>
        </w:rPr>
        <w:t xml:space="preserve">4.7  </w:t>
      </w:r>
      <w:r>
        <w:rPr>
          <w:b w:val="0"/>
          <w:sz w:val="22"/>
        </w:rPr>
        <w:t>Hoses and electrical conductors across aisles or passageways shall be covered or suspended overhead so that there is no tripping hazard.  Where mechanical handling equipment is used, sufficient safe clearances shall be allowed for aisles, at loading docks, through doorways, and wherever turns or passages must be made.</w:t>
      </w:r>
    </w:p>
    <w:p>
      <w:pPr>
        <w:spacing w:before="50" w:after="40" w:line="276" w:lineRule="auto"/>
        <w:ind w:left="720" w:hanging="720"/>
      </w:pPr>
      <w:r>
        <w:rPr>
          <w:b/>
          <w:sz w:val="22"/>
        </w:rPr>
        <w:t xml:space="preserve">4.8  </w:t>
      </w:r>
      <w:r>
        <w:rPr>
          <w:b w:val="0"/>
          <w:sz w:val="22"/>
        </w:rPr>
        <w:t>Storage of material shall not create a hazard.  Bags, containers, bundles construction materials and other equipment shall be stored in tiers, stacked, blocked or interlocked.  They shall be limited in height (in general &lt; 5 ft.) so that they are stable and secure against falling, sliding, or collapse.</w:t>
      </w:r>
    </w:p>
    <w:p>
      <w:pPr>
        <w:spacing w:before="50" w:after="40" w:line="276" w:lineRule="auto"/>
        <w:ind w:left="720" w:hanging="720"/>
      </w:pPr>
      <w:r>
        <w:rPr>
          <w:b/>
          <w:sz w:val="22"/>
        </w:rPr>
        <w:t xml:space="preserve">4.9  </w:t>
      </w:r>
      <w:r>
        <w:rPr>
          <w:b w:val="0"/>
          <w:sz w:val="22"/>
        </w:rPr>
        <w:t>Free access shall be maintained at all times to all exits, fire alarm boxes, fire extinguishing equipment, and any other emergency equipment.  Free access means clear of all obstructions.</w:t>
      </w:r>
    </w:p>
    <w:p>
      <w:pPr>
        <w:spacing w:before="50" w:after="40" w:line="276" w:lineRule="auto"/>
        <w:ind w:left="720" w:hanging="720"/>
      </w:pPr>
      <w:r>
        <w:rPr>
          <w:b/>
          <w:sz w:val="22"/>
        </w:rPr>
        <w:t xml:space="preserve">4.10  </w:t>
      </w:r>
      <w:r>
        <w:rPr>
          <w:b w:val="0"/>
          <w:sz w:val="22"/>
        </w:rPr>
        <w:t>All lunchrooms, washrooms and restrooms shall be kept in a clean and sanitary condition.  Garbage cans in lunchrooms and restrooms shall be equipped with fitted covers, and the contents disposed of regularly.</w:t>
      </w:r>
    </w:p>
    <w:p>
      <w:pPr>
        <w:spacing w:before="50" w:after="40" w:line="276" w:lineRule="auto"/>
        <w:ind w:left="720" w:hanging="720"/>
      </w:pPr>
      <w:r>
        <w:rPr>
          <w:b/>
          <w:sz w:val="22"/>
        </w:rPr>
        <w:t xml:space="preserve">4.11  </w:t>
      </w:r>
      <w:r>
        <w:rPr>
          <w:b w:val="0"/>
          <w:sz w:val="22"/>
        </w:rPr>
        <w:t>Common garbage and other waste shall be disposed of at frequent and regular intervals.</w:t>
      </w:r>
    </w:p>
    <w:p>
      <w:pPr>
        <w:spacing w:before="50" w:after="40" w:line="276" w:lineRule="auto"/>
        <w:ind w:left="720" w:hanging="720"/>
      </w:pPr>
      <w:r>
        <w:rPr>
          <w:b/>
          <w:sz w:val="22"/>
        </w:rPr>
        <w:t xml:space="preserve">4.12  </w:t>
      </w:r>
      <w:r>
        <w:rPr>
          <w:b w:val="0"/>
          <w:sz w:val="22"/>
        </w:rPr>
        <w:t>Containers shall be provided for the collection and separation of waste, trash, oily or used rags, and other refuse.  Containers used for garbage and other oily, flammable or hazardous wastes, (such as caustics, acids, harmful dusts or similar materials) shall be equipped with covers.</w:t>
      </w:r>
    </w:p>
    <w:p>
      <w:pPr>
        <w:spacing w:before="50" w:after="40" w:line="276" w:lineRule="auto"/>
        <w:ind w:left="720" w:hanging="720"/>
      </w:pPr>
      <w:r>
        <w:rPr>
          <w:b/>
          <w:sz w:val="22"/>
        </w:rPr>
        <w:t xml:space="preserve">4.13  </w:t>
      </w:r>
      <w:r>
        <w:rPr>
          <w:b w:val="0"/>
          <w:sz w:val="22"/>
        </w:rPr>
        <w:t>Chemical agents or substances, which might react to create a hazardous condition, shall be stored and disposed of separately.</w:t>
      </w:r>
    </w:p>
    <w:p>
      <w:pPr>
        <w:spacing w:before="50" w:after="40" w:line="276" w:lineRule="auto"/>
        <w:ind w:left="720" w:hanging="720"/>
      </w:pPr>
      <w:r>
        <w:rPr>
          <w:b/>
          <w:sz w:val="22"/>
        </w:rPr>
        <w:t xml:space="preserve">5.0  </w:t>
      </w:r>
      <w:r>
        <w:rPr>
          <w:b w:val="0"/>
          <w:sz w:val="22"/>
        </w:rPr>
        <w:t>PROCEDURE</w:t>
      </w:r>
    </w:p>
    <w:p>
      <w:pPr>
        <w:spacing w:before="40" w:after="40" w:line="276" w:lineRule="auto"/>
      </w:pPr>
      <w:r>
        <w:rPr>
          <w:sz w:val="22"/>
        </w:rPr>
        <w:t>Not Applicable</w:t>
      </w:r>
    </w:p>
    <w:p>
      <w:pPr>
        <w:spacing w:before="50" w:after="40" w:line="276" w:lineRule="auto"/>
        <w:ind w:left="720" w:hanging="720"/>
      </w:pPr>
      <w:r>
        <w:rPr>
          <w:b/>
          <w:sz w:val="22"/>
        </w:rPr>
        <w:t xml:space="preserve">6.0  </w:t>
      </w:r>
      <w:r>
        <w:rPr>
          <w:b w:val="0"/>
          <w:sz w:val="22"/>
        </w:rPr>
        <w:t>RECORDS</w:t>
      </w:r>
    </w:p>
    <w:p>
      <w:pPr>
        <w:spacing w:before="40" w:after="40" w:line="276" w:lineRule="auto"/>
      </w:pPr>
      <w:r>
        <w:rPr>
          <w:sz w:val="22"/>
        </w:rPr>
        <w:t>Not Applicable</w:t>
      </w:r>
    </w:p>
    <w:p>
      <w:pPr>
        <w:spacing w:before="50" w:after="40" w:line="276" w:lineRule="auto"/>
        <w:ind w:left="720" w:hanging="720"/>
      </w:pPr>
      <w:r>
        <w:rPr>
          <w:b/>
          <w:sz w:val="22"/>
        </w:rPr>
        <w:t xml:space="preserve">7.0  </w:t>
      </w:r>
      <w:r>
        <w:rPr>
          <w:b w:val="0"/>
          <w:sz w:val="22"/>
        </w:rPr>
        <w:t>REFERENCES</w:t>
      </w:r>
    </w:p>
    <w:p>
      <w:pPr>
        <w:spacing w:before="40" w:after="40" w:line="276" w:lineRule="auto"/>
      </w:pPr>
      <w:r>
        <w:rPr>
          <w:sz w:val="22"/>
        </w:rPr>
        <w:t>Not Applicable</w:t>
      </w:r>
    </w:p>
    <w:p>
      <w:pPr>
        <w:spacing w:before="50" w:after="40" w:line="276" w:lineRule="auto"/>
        <w:ind w:left="720" w:hanging="720"/>
      </w:pPr>
      <w:r>
        <w:rPr>
          <w:b/>
          <w:sz w:val="22"/>
        </w:rPr>
        <w:t xml:space="preserve">8.0  </w:t>
      </w:r>
      <w:r>
        <w:rPr>
          <w:b w:val="0"/>
          <w:sz w:val="22"/>
        </w:rPr>
        <w:t>ATTACHMENTS</w:t>
      </w:r>
    </w:p>
    <w:p>
      <w:pPr>
        <w:spacing w:before="40" w:after="40" w:line="276" w:lineRule="auto"/>
      </w:pPr>
      <w:r>
        <w:rPr>
          <w:sz w:val="22"/>
        </w:rPr>
        <w:t>Not Applicable</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https://www.travelers.com/risk-control</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isk-control"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CF65AAD-8CEF-4006-89FA-4A36EFB8971B}"/>
</file>

<file path=customXml/itemProps3.xml><?xml version="1.0" encoding="utf-8"?>
<ds:datastoreItem xmlns:ds="http://schemas.openxmlformats.org/officeDocument/2006/customXml" ds:itemID="{230025E6-0323-4C9C-B583-D4149AF0CCB5}"/>
</file>

<file path=customXml/itemProps4.xml><?xml version="1.0" encoding="utf-8"?>
<ds:datastoreItem xmlns:ds="http://schemas.openxmlformats.org/officeDocument/2006/customXml" ds:itemID="{40E83A39-FE97-42B9-BD3A-94EA6DB5E95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