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336049"/>
          <w:sz w:val="32"/>
        </w:rPr>
        <w:t>MISH 49 — Incident Investigation &amp; Root Cause Analysis</w:t>
      </w:r>
    </w:p>
    <w:p>
      <w:pPr>
        <w:spacing w:before="0" w:after="20"/>
      </w:pPr>
      <w:r>
        <w:rPr>
          <w:color w:val="333333"/>
          <w:sz w:val="18"/>
        </w:rPr>
        <w:t>Chapter 8: Emergency Response &amp; Incident Management  |  29 CFR 1926.20  |  AGC: Incident Investigation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336049"/>
          <w:left w:val="single" w:sz="10" w:space="0" w:color="336049"/>
          <w:bottom w:val="single" w:sz="10" w:space="0" w:color="336049"/>
          <w:right w:val="single" w:sz="10" w:space="0" w:color="336049"/>
          <w:insideH w:val="single" w:sz="10" w:space="0" w:color="336049"/>
          <w:insideV w:val="single" w:sz="10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MISH 49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3.0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April 2026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Jeremy Thamert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President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Safety Officer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Travelers Risk Control Consultant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AGC Representative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Jeremy Thamert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Matt Ramsey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</w:tr>
    </w:tbl>
    <w:p/>
    <w:p>
      <w:pPr>
        <w:pStyle w:val="Heading1"/>
        <w:spacing w:before="200" w:after="80"/>
      </w:pPr>
      <w:r>
        <w:rPr>
          <w:color w:val="336049"/>
          <w:sz w:val="28"/>
        </w:rPr>
        <w:t>1.0  PURPOSE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1.1  </w:t>
      </w:r>
      <w:r>
        <w:rPr>
          <w:b w:val="0"/>
          <w:sz w:val="22"/>
        </w:rPr>
        <w:t>All incidents, near-misses, and property damage events must be investigated to identify root causes and prevent recurrence.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1.2  </w:t>
      </w:r>
      <w:r>
        <w:rPr>
          <w:b w:val="0"/>
          <w:sz w:val="22"/>
        </w:rPr>
        <w:t>Investigation is not about assigning blame — it is about identifying system failures and implementing corrective actions.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2.0  INVESTIGATION REQUIREMENTS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2.1  Immediate Response (0–4 Hours)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Secure the scene. Prevent further injury.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Provide first aid / call 911 if required.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Notify Safety Officer and Project Manager immediately.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Preserve physical evidence — do not disturb the scene until documented.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Conduct drug/alcohol testing per MISH 06 if required.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Notify Travelers Risk Control if incident may result in a claim.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2.2  Investigation (Within 24 Hours)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Photograph the scene from multiple angles.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Interview all witnesses separately. Document statements.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Collect physical evidence (equipment, materials, PPE).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Review training records, inspection logs, and work procedures.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Complete the MHC Incident Investigation Report (Form 49-A).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2.3  Root Cause Analysis</w:t>
      </w:r>
    </w:p>
    <w:p>
      <w:pPr>
        <w:spacing w:before="40" w:after="40" w:line="276" w:lineRule="auto"/>
      </w:pPr>
      <w:r>
        <w:rPr>
          <w:sz w:val="22"/>
        </w:rPr>
        <w:t>Use the 5-Why method to identify root causes beyond the immediate cause: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Why 1: Why did the incident occur? (Immediate cause)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Why 2: Why did that condition/action exist? (Contributing cause)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Why 3: Why was the contributing cause not prevented? (System failure)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Why 4: Why did the system failure occur? (Root cause)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Why 5: Why was the root cause not identified earlier? (Program gap)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2.4  Corrective Actions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2.4.1  </w:t>
      </w:r>
      <w:r>
        <w:rPr>
          <w:b w:val="0"/>
          <w:sz w:val="22"/>
        </w:rPr>
        <w:t>All root causes must have a corresponding corrective action with a responsible party and a completion deadline.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2.4.2  </w:t>
      </w:r>
      <w:r>
        <w:rPr>
          <w:b w:val="0"/>
          <w:sz w:val="22"/>
        </w:rPr>
        <w:t>Corrective actions must be verified as complete by the Safety Officer before the investigation is closed.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2.4.3  </w:t>
      </w:r>
      <w:r>
        <w:rPr>
          <w:b w:val="0"/>
          <w:sz w:val="22"/>
        </w:rPr>
        <w:t>Lessons learned must be communicated to all affected crews at the next safety meeting.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3.0  RECORDKEEPING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3.1  </w:t>
      </w:r>
      <w:r>
        <w:rPr>
          <w:b w:val="0"/>
          <w:sz w:val="22"/>
        </w:rPr>
        <w:t>All incident investigations must be documented on Form 49-A and retained for a minimum of 5 years.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3.2  </w:t>
      </w:r>
      <w:r>
        <w:rPr>
          <w:b w:val="0"/>
          <w:sz w:val="22"/>
        </w:rPr>
        <w:t>OSHA 300/300A logs must be maintained and posted per 29 CFR 1904.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3.3  </w:t>
      </w:r>
      <w:r>
        <w:rPr>
          <w:b w:val="0"/>
          <w:sz w:val="22"/>
        </w:rPr>
        <w:t>Travelers Risk Control must be notified of any incident that may result in a claim.</w:t>
      </w:r>
    </w:p>
    <w:p>
      <w:pPr>
        <w:pStyle w:val="Heading3"/>
        <w:spacing w:before="100" w:after="40"/>
      </w:pPr>
      <w:r>
        <w:rPr>
          <w:color w:val="333333"/>
          <w:sz w:val="22"/>
        </w:rPr>
        <w:t>Training &amp; Reference Resources</w:t>
      </w:r>
    </w:p>
    <w:p>
      <w:pPr>
        <w:spacing w:before="20" w:after="20"/>
      </w:pPr>
      <w:r>
        <w:rPr>
          <w:b/>
        </w:rPr>
        <w:t xml:space="preserve">Travelers Risk Control: </w:t>
      </w:r>
      <w:hyperlink r:id="rId11">
        <w:r>
          <w:rPr>
            <w:rStyle w:val="Hyperlink"/>
            <w:color w:val="0563C1"/>
            <w:u w:val="single"/>
          </w:rPr>
          <w:t xml:space="preserve">https://www.travelers.com/resources/business-topics/workplace-safety/injury-impact-report</w:t>
        </w:r>
      </w:hyperlink>
    </w:p>
    <w:p>
      <w:pPr>
        <w:spacing w:before="20" w:after="20"/>
      </w:pPr>
      <w:r>
        <w:rPr>
          <w:b/>
        </w:rPr>
        <w:t xml:space="preserve">Travelers Training Library: </w:t>
      </w:r>
      <w:hyperlink r:id="rId12">
        <w:r>
          <w:rPr>
            <w:rStyle w:val="Hyperlink"/>
            <w:color w:val="0563C1"/>
            <w:u w:val="single"/>
          </w:rPr>
          <w:t xml:space="preserve">https://www.travelers.com/risk-control/safety-education-training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3">
        <w:r>
          <w:rPr>
            <w:rStyle w:val="Hyperlink"/>
            <w:color w:val="0563C1"/>
            <w:u w:val="single"/>
          </w:rPr>
          <w:t xml:space="preserve">https://www.osha.gov/construction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4">
        <w:r>
          <w:rPr>
            <w:rStyle w:val="Hyperlink"/>
            <w:color w:val="0563C1"/>
            <w:u w:val="single"/>
          </w:rPr>
          <w:t xml:space="preserve">https://www.osha.gov/safety-management</w:t>
        </w:r>
      </w:hyperlink>
    </w:p>
    <w:p>
      <w:pPr>
        <w:spacing w:before="20" w:after="20"/>
      </w:pPr>
      <w:r>
        <w:rPr>
          <w:b/>
        </w:rPr>
        <w:t xml:space="preserve">AGC Safety Resources: </w:t>
      </w:r>
      <w:hyperlink r:id="rId15">
        <w:r>
          <w:rPr>
            <w:rStyle w:val="Hyperlink"/>
            <w:color w:val="0563C1"/>
            <w:u w:val="single"/>
          </w:rPr>
          <w:t xml:space="preserve">https://www.agc.org/learn/education-training/safety-health</w:t>
        </w:r>
      </w:hyperlink>
    </w:p>
    <w:p>
      <w:pPr>
        <w:spacing w:before="20" w:after="20"/>
      </w:pPr>
      <w:r>
        <w:rPr>
          <w:b/>
        </w:rPr>
        <w:t xml:space="preserve">WISHA / WA L&amp;I: </w:t>
      </w:r>
      <w:hyperlink r:id="rId16">
        <w:r>
          <w:rPr>
            <w:rStyle w:val="Hyperlink"/>
            <w:color w:val="0563C1"/>
            <w:u w:val="single"/>
          </w:rPr>
          <w:t xml:space="preserve">https://lni.wa.gov/safety-health/</w:t>
        </w:r>
      </w:hyperlink>
    </w:p>
    <w:p>
      <w:pPr>
        <w:spacing w:before="30" w:after="30"/>
      </w:pPr>
      <w:r>
        <w:rPr>
          <w:i/>
          <w:color w:val="333333"/>
          <w:sz w:val="18"/>
        </w:rPr>
        <w:t>NOTE: WISHA citations apply only where WAC 296-155 is MORE STRINGENT than OSHA 29 CFR 1926.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www.osha.gov/construction" TargetMode="Externa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www.travelers.com/risk-control/safety-education-training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lni.wa.gov/safety-health/" TargetMode="Externa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www.travelers.com/resources/business-topics/workplace-safety/injury-impact-report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agc.org/learn/education-training/safety-health" TargetMode="Externa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www.osha.gov/safety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C80BD2-AF62-4F28-B838-E71503F74CBB}"/>
</file>

<file path=customXml/itemProps3.xml><?xml version="1.0" encoding="utf-8"?>
<ds:datastoreItem xmlns:ds="http://schemas.openxmlformats.org/officeDocument/2006/customXml" ds:itemID="{5490A01E-F2DF-48D3-B98C-A0BCE9B99E6B}"/>
</file>

<file path=customXml/itemProps4.xml><?xml version="1.0" encoding="utf-8"?>
<ds:datastoreItem xmlns:ds="http://schemas.openxmlformats.org/officeDocument/2006/customXml" ds:itemID="{C43AD67D-4B8F-42C8-934A-C6FE87DEAE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