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03-C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POST-ACCIDENT DRUG &amp; ALCOHOL TEST AUTHORIZATION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Drug &amp; Alcohol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03-C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Post-accident testing must be initiated as soon as practicable following any workplace accident. Alcohol testing must occur within 2 hours (8 hours max). Drug testing must occur within 32 hours. Reference: MISH-06 | DOT 49 CFR 382.303 | Travelers Risk Control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of Accident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Time of Accident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Location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Nature of Accident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Injuries?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Property Damage?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  |  Estimated: $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Supervisor Authorizing Test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Time Test Authorized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Test Facility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Time Employee Reported for Test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Alcohol Test Result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Drug Test Result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MRO Verification 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I acknowledge that I have been directed to submit to post-accident drug and alcohol testing per MH Construction Drug-Free Workplace Policy (MISH-06). I understand that refusal to test is treated as a positive result.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4AC31E-E8EE-472D-80EA-B23D3884B77C}"/>
</file>

<file path=customXml/itemProps3.xml><?xml version="1.0" encoding="utf-8"?>
<ds:datastoreItem xmlns:ds="http://schemas.openxmlformats.org/officeDocument/2006/customXml" ds:itemID="{5ACCCFE2-5E2B-4D86-BCF3-B72A62C17EC1}"/>
</file>

<file path=customXml/itemProps4.xml><?xml version="1.0" encoding="utf-8"?>
<ds:datastoreItem xmlns:ds="http://schemas.openxmlformats.org/officeDocument/2006/customXml" ds:itemID="{F1628E94-4270-471A-97D3-F0E72C567E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