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TERMINATION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HR &amp; Disciplinary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Job Title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Last Day of Work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Termination Type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Voluntary / Involuntary / Layoff / End of Contract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Reason for Separation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HR / Office Manager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Termination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Exit interview conducted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paycheck issued (WA requires payment by next regular payday per RCW 49.48.010)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Accrued PTO paid out (per company policy)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COBRA / WA PFML continuation notice provided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Unemployment Insurance separation notice provided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company keys / access cards / badges returned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Company vehicle returned and inspected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Company tools and equipment returned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Company credit cards / purchasing cards returned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Company cell phone / laptop / equipment returned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Procore access revoked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Email account deactivated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company property accounted for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Non-disclosure / non-compete agreement reviewed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OSHA 300 Log updated if applicable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Travelers Insurance notified if workers' comp claim is open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L&amp;I notified if workers' comp claim is open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Payroll system updated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Personnel file secured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542625-BE78-46C9-AB0B-A32A669C89B6}"/>
</file>

<file path=customXml/itemProps3.xml><?xml version="1.0" encoding="utf-8"?>
<ds:datastoreItem xmlns:ds="http://schemas.openxmlformats.org/officeDocument/2006/customXml" ds:itemID="{586A9D13-95A3-491A-9753-2DAB0E0AA7F3}"/>
</file>

<file path=customXml/itemProps4.xml><?xml version="1.0" encoding="utf-8"?>
<ds:datastoreItem xmlns:ds="http://schemas.openxmlformats.org/officeDocument/2006/customXml" ds:itemID="{349AEF42-1DEF-4B0D-820A-552EB365D7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