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Enterprise Master Document Index</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CORE DOCTRINE</w:t>
              <w:br/>
              <w:t>Document title: MH Enterprise Master Document Index</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jc w:val="center"/>
        <w:rPr/>
      </w:pPr>
      <w:r>
        <w:rPr>
          <w:rFonts w:eastAsia="Mendl Sans Dusk Regular" w:cs="Mendl Sans Dusk Regular"/>
          <w:b/>
          <w:color w:val="386851"/>
          <w:sz w:val="22"/>
        </w:rPr>
        <w:t>MH Construction, INC</w:t>
        <w:br/>
        <w:t>3111 N. Capitol Ave., Pasco, WA 99301 | (509) 308-6489 | office@mhc-gc.com</w:t>
      </w:r>
    </w:p>
    <w:p>
      <w:pPr>
        <w:pStyle w:val="Normal"/>
        <w:widowControl/>
        <w:jc w:val="center"/>
        <w:rPr/>
      </w:pPr>
      <w:r>
        <w:rPr>
          <w:rFonts w:eastAsia="Mendl Sans Dusk Regular" w:cs="Mendl Sans Dusk Regular"/>
          <w:b/>
          <w:i w:val="false"/>
          <w:color w:val="000000"/>
          <w:sz w:val="22"/>
        </w:rPr>
        <w:t>MH Construction, INC</w:t>
      </w:r>
    </w:p>
    <w:p>
      <w:pPr>
        <w:pStyle w:val="Normal"/>
        <w:widowControl/>
        <w:jc w:val="center"/>
        <w:rPr/>
      </w:pPr>
      <w:r>
        <w:rPr>
          <w:rFonts w:eastAsia="Mendl Sans Dusk Regular" w:cs="Mendl Sans Dusk Regular"/>
          <w:b/>
          <w:i w:val="false"/>
          <w:color w:val="000000"/>
          <w:sz w:val="22"/>
        </w:rPr>
        <w:t>ENTERPRISE MASTER DOCUMENT INDEX</w:t>
        <w:br/>
        <w:t>Revision 1.0</w:t>
      </w:r>
    </w:p>
    <w:p>
      <w:pPr>
        <w:pStyle w:val="Normal"/>
        <w:widowControl/>
        <w:rPr/>
      </w:pPr>
      <w:r>
        <w:rPr/>
      </w:r>
      <w:r>
        <w:br w:type="page"/>
      </w:r>
    </w:p>
    <w:p>
      <w:pPr>
        <w:pStyle w:val="Normal"/>
        <w:widowControl/>
        <w:spacing w:before="0" w:after="120"/>
        <w:rPr/>
      </w:pPr>
      <w:r>
        <w:rPr>
          <w:rFonts w:eastAsia="Mendl Sans Dusk Regular" w:cs="Mendl Sans Dusk Regular"/>
          <w:b/>
          <w:i w:val="false"/>
          <w:color w:val="000000"/>
          <w:sz w:val="22"/>
        </w:rPr>
        <w:t>MDI-01.0: PURPOSE AND ARCHITECTURE</w:t>
      </w:r>
    </w:p>
    <w:p>
      <w:pPr>
        <w:pStyle w:val="Normal"/>
        <w:widowControl/>
        <w:rPr/>
      </w:pPr>
      <w:r>
        <w:rPr>
          <w:rFonts w:eastAsia="Mendl Sans Dusk Regular" w:cs="Mendl Sans Dusk Regular"/>
          <w:b/>
          <w:i w:val="false"/>
          <w:color w:val="000000"/>
          <w:sz w:val="22"/>
        </w:rPr>
        <w:t>DIRECTIVE: MDI-01-DIR-01: This Master Document Index serves as the single source of truth for the entire MH Construction, INC document ecosystem. It categorizes all 22 active document families hierarchically, defining their prefix codes, primary owners, and enterprise role.</w:t>
      </w:r>
    </w:p>
    <w:p>
      <w:pPr>
        <w:pStyle w:val="Normal"/>
        <w:widowControl/>
        <w:rPr/>
      </w:pPr>
      <w:r>
        <w:rPr>
          <w:rFonts w:eastAsia="Mendl Sans Dusk Regular" w:cs="Mendl Sans Dusk Regular"/>
          <w:b/>
          <w:i w:val="false"/>
          <w:color w:val="000000"/>
          <w:sz w:val="22"/>
        </w:rPr>
        <w:t>TIER 1: FOUNDATIONAL DOCTRINE &amp; GOVERNANCE</w:t>
      </w:r>
    </w:p>
    <w:p>
      <w:pPr>
        <w:pStyle w:val="Normal"/>
        <w:widowControl/>
        <w:rPr/>
      </w:pPr>
      <w:r>
        <w:rPr>
          <w:rFonts w:eastAsia="Mendl Sans Dusk Regular" w:cs="Mendl Sans Dusk Regular"/>
          <w:b w:val="false"/>
          <w:i/>
          <w:color w:val="000000"/>
          <w:sz w:val="22"/>
        </w:rPr>
        <w:t>Documents that establish the corporate structure, risk defense, and operational philosophy.</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160"/>
        <w:gridCol w:w="2160"/>
        <w:gridCol w:w="2160"/>
        <w:gridCol w:w="2160"/>
      </w:tblGrid>
      <w:tr>
        <w:trPr/>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Prefix</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Document Title</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Primary Owner</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Enterprise Role</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EHB</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Employee Handbook</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CEO / HR Director</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Establishes org structure, roles, HR policies, and employee conduct.</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OPS</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Operations Manual</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COO</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The central nervous system. Defines the Dean 3-tier architecture and master operating procedures.</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RM</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Corporate Risk Management Playbook</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CEO / COO</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Defends against contractual exposure, key-person loss, and liability risks.</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HR</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Workforce Development Matrix</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HR Director</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Defines mandatory certifications, pay bands, and career progression paths.</w:t>
            </w:r>
          </w:p>
        </w:tc>
      </w:tr>
    </w:tbl>
    <w:p>
      <w:pPr>
        <w:pStyle w:val="Normal"/>
        <w:widowControl/>
        <w:rPr/>
      </w:pPr>
      <w:r>
        <w:rPr/>
      </w:r>
    </w:p>
    <w:p>
      <w:pPr>
        <w:pStyle w:val="Normal"/>
        <w:widowControl/>
        <w:rPr/>
      </w:pPr>
      <w:r>
        <w:rPr>
          <w:rFonts w:eastAsia="Mendl Sans Dusk Regular" w:cs="Mendl Sans Dusk Regular"/>
          <w:b/>
          <w:i w:val="false"/>
          <w:color w:val="000000"/>
          <w:sz w:val="22"/>
        </w:rPr>
        <w:t>TIER 2: STRATEGY &amp; BUSINESS DEVELOPMENT</w:t>
      </w:r>
    </w:p>
    <w:p>
      <w:pPr>
        <w:pStyle w:val="Normal"/>
        <w:widowControl/>
        <w:rPr/>
      </w:pPr>
      <w:r>
        <w:rPr>
          <w:rFonts w:eastAsia="Mendl Sans Dusk Regular" w:cs="Mendl Sans Dusk Regular"/>
          <w:b w:val="false"/>
          <w:i/>
          <w:color w:val="000000"/>
          <w:sz w:val="22"/>
        </w:rPr>
        <w:t>Documents that govern how MH Construction, INC acquires work and presents itself to the market.</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160"/>
        <w:gridCol w:w="2160"/>
        <w:gridCol w:w="2160"/>
        <w:gridCol w:w="2160"/>
      </w:tblGrid>
      <w:tr>
        <w:trPr/>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Prefix</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Document Title</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Primary Owner</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Enterprise Role</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SE</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Sales &amp; Estimating Guide</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CHNAV</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Governs the pursuit of work, bid strategy, and client communication standards.</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MG</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Marketing Strategy Guide</w:t>
            </w:r>
          </w:p>
        </w:tc>
        <w:tc>
          <w:tcPr>
            <w:tcW w:w="2160" w:type="dxa"/>
            <w:tcBorders/>
            <w:vAlign w:val="center"/>
          </w:tcPr>
          <w:p>
            <w:pPr>
              <w:pStyle w:val="Normal"/>
              <w:spacing w:before="0" w:after="40"/>
              <w:rPr/>
            </w:pPr>
            <w:r>
              <w:rPr>
                <w:b w:val="false"/>
                <w:color w:val="000000"/>
                <w:sz w:val="17"/>
              </w:rPr>
              <w:t>CHENG</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Governs channel operations, brand deployment, and marketing KPI targets.</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BSG</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Brand Standards Guide</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CHENG</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Establishes visual identity, typography, and logo usage (Maintained in GitHub).</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ＭＳ 明朝" w:cs=""/>
                <w:kern w:val="0"/>
                <w:sz w:val="17"/>
                <w:szCs w:val="22"/>
                <w:lang w:val="en-US" w:eastAsia="en-US" w:bidi="ar-SA"/>
              </w:rPr>
              <w:t>MKT-002</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ＭＳ 明朝" w:cs=""/>
                <w:kern w:val="0"/>
                <w:sz w:val="17"/>
                <w:szCs w:val="22"/>
                <w:lang w:val="en-US" w:eastAsia="en-US" w:bidi="ar-SA"/>
              </w:rPr>
              <w:t>Event &amp; Community Outreach Program</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ＭＳ 明朝" w:cs=""/>
                <w:kern w:val="0"/>
                <w:sz w:val="17"/>
                <w:szCs w:val="22"/>
                <w:lang w:val="en-US" w:eastAsia="en-US" w:bidi="ar-SA"/>
              </w:rPr>
              <w:t>CHNAV / Marketing Lead</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ＭＳ 明朝" w:cs=""/>
                <w:kern w:val="0"/>
                <w:sz w:val="17"/>
                <w:szCs w:val="22"/>
                <w:lang w:val="en-US" w:eastAsia="en-US" w:bidi="ar-SA"/>
              </w:rPr>
              <w:t>Controls chamber engagement, the condensed annual event calendar, sponsorships, volunteering, hosted events, Marketing Flight follow-through, and program AARs.</w:t>
            </w:r>
          </w:p>
        </w:tc>
      </w:tr>
    </w:tbl>
    <w:p>
      <w:pPr>
        <w:pStyle w:val="Normal"/>
        <w:widowControl/>
        <w:rPr/>
      </w:pPr>
      <w:r>
        <w:rPr/>
      </w:r>
    </w:p>
    <w:p>
      <w:pPr>
        <w:pStyle w:val="Normal"/>
        <w:widowControl/>
        <w:rPr/>
      </w:pPr>
      <w:r>
        <w:rPr>
          <w:rFonts w:eastAsia="Mendl Sans Dusk Regular" w:cs="Mendl Sans Dusk Regular"/>
          <w:b/>
          <w:i w:val="false"/>
          <w:color w:val="000000"/>
          <w:sz w:val="22"/>
        </w:rPr>
        <w:t>TIER 3: PROJECT DELIVERY &amp; FINANCIAL CONTROLS</w:t>
      </w:r>
    </w:p>
    <w:p>
      <w:pPr>
        <w:pStyle w:val="Normal"/>
        <w:widowControl/>
        <w:rPr/>
      </w:pPr>
      <w:r>
        <w:rPr>
          <w:rFonts w:eastAsia="Mendl Sans Dusk Regular" w:cs="Mendl Sans Dusk Regular"/>
          <w:b w:val="false"/>
          <w:i/>
          <w:color w:val="000000"/>
          <w:sz w:val="22"/>
        </w:rPr>
        <w:t>Documents that govern how projects are executed, managed, and financially controlled.</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160"/>
        <w:gridCol w:w="2160"/>
        <w:gridCol w:w="2160"/>
        <w:gridCol w:w="2160"/>
      </w:tblGrid>
      <w:tr>
        <w:trPr/>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Prefix</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Document Title</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Primary Owner</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Enterprise Role</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PEP</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Project Execution Playbook</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COO / PM Wing Lead</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Governs project delivery from Sales handoff through closeout and punch list.</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BID</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Estimating &amp; Bid Package Guide</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Senior Estimator</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Governs takeoff procedures, Go/No-Go decisions, and bid assembly.</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SUB</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Subcontractor Management Manual</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Admin Dept / PM</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Governs subcontractor prequalification, contracts, and performance evaluation.</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FIN</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Financial Controls Guide</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CFO</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Governs job cost tracking, change orders, AP/AR, and month-end reconciliation.</w:t>
            </w:r>
          </w:p>
        </w:tc>
      </w:tr>
    </w:tbl>
    <w:p>
      <w:pPr>
        <w:pStyle w:val="Normal"/>
        <w:widowControl/>
        <w:rPr/>
      </w:pPr>
      <w:r>
        <w:rPr/>
      </w:r>
    </w:p>
    <w:p>
      <w:pPr>
        <w:pStyle w:val="Normal"/>
        <w:widowControl/>
        <w:rPr/>
      </w:pPr>
      <w:r>
        <w:rPr>
          <w:rFonts w:eastAsia="Mendl Sans Dusk Regular" w:cs="Mendl Sans Dusk Regular"/>
          <w:b/>
          <w:i w:val="false"/>
          <w:color w:val="000000"/>
          <w:sz w:val="22"/>
        </w:rPr>
        <w:t>TIER 4: SAFETY, EQUIPMENT &amp; FIELD OPERATIONS</w:t>
      </w:r>
    </w:p>
    <w:p>
      <w:pPr>
        <w:pStyle w:val="Normal"/>
        <w:widowControl/>
        <w:rPr/>
      </w:pPr>
      <w:r>
        <w:rPr>
          <w:rFonts w:eastAsia="Mendl Sans Dusk Regular" w:cs="Mendl Sans Dusk Regular"/>
          <w:b w:val="false"/>
          <w:i/>
          <w:color w:val="000000"/>
          <w:sz w:val="22"/>
        </w:rPr>
        <w:t>Documents that govern jobsite safety, heavy equipment, and logistics.</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160"/>
        <w:gridCol w:w="2160"/>
        <w:gridCol w:w="2160"/>
        <w:gridCol w:w="2160"/>
      </w:tblGrid>
      <w:tr>
        <w:trPr/>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Prefix</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Document Title</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Primary Owner</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Enterprise Role</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MISH</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MISH Safety Manual</w:t>
            </w:r>
          </w:p>
        </w:tc>
        <w:tc>
          <w:tcPr>
            <w:tcW w:w="2160" w:type="dxa"/>
            <w:tcBorders/>
            <w:vAlign w:val="center"/>
          </w:tcPr>
          <w:p>
            <w:pPr>
              <w:pStyle w:val="Normal"/>
              <w:spacing w:before="0" w:after="40"/>
              <w:rPr/>
            </w:pPr>
            <w:r>
              <w:rPr>
                <w:b w:val="false"/>
                <w:color w:val="000000"/>
                <w:sz w:val="17"/>
              </w:rPr>
              <w:t>CHENG</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The master safety doctrine governing all field operations and hazard mitigation.</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ER</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Emergency Response Plan</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Chief Superintendent</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Governs jobsite emergencies, incident command, and L&amp;I/OSHA notification.</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EOM</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Equipment Operators Manual</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Chief Superintendent</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Governs heavy equipment certification, safe operation, and maintenance.</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WMG</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Warehouse Management Guide</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Warehouse Manager</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Governs tool tracking, material receiving, and hazmat storage.</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TBT</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Toolbox Talk Program (78 Modules)</w:t>
            </w:r>
          </w:p>
        </w:tc>
        <w:tc>
          <w:tcPr>
            <w:tcW w:w="2160" w:type="dxa"/>
            <w:tcBorders/>
            <w:vAlign w:val="center"/>
          </w:tcPr>
          <w:p>
            <w:pPr>
              <w:pStyle w:val="Normal"/>
              <w:spacing w:before="0" w:after="40"/>
              <w:rPr/>
            </w:pPr>
            <w:r>
              <w:rPr>
                <w:b w:val="false"/>
                <w:color w:val="000000"/>
                <w:sz w:val="17"/>
              </w:rPr>
              <w:t>CHENG</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CSI MasterFormat-aligned weekly safety training curriculum.</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SDS</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SDS Quick Reference Library</w:t>
            </w:r>
          </w:p>
        </w:tc>
        <w:tc>
          <w:tcPr>
            <w:tcW w:w="2160" w:type="dxa"/>
            <w:tcBorders/>
            <w:vAlign w:val="center"/>
          </w:tcPr>
          <w:p>
            <w:pPr>
              <w:pStyle w:val="Normal"/>
              <w:spacing w:before="0" w:after="40"/>
              <w:rPr/>
            </w:pPr>
            <w:r>
              <w:rPr>
                <w:b w:val="false"/>
                <w:color w:val="000000"/>
                <w:sz w:val="17"/>
              </w:rPr>
              <w:t>CHENG</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Chemical hazard communication and emergency first aid references.</w:t>
            </w:r>
          </w:p>
        </w:tc>
      </w:tr>
    </w:tbl>
    <w:p>
      <w:pPr>
        <w:pStyle w:val="Normal"/>
        <w:widowControl/>
        <w:rPr/>
      </w:pPr>
      <w:r>
        <w:rPr/>
      </w:r>
    </w:p>
    <w:p>
      <w:pPr>
        <w:pStyle w:val="Normal"/>
        <w:widowControl/>
        <w:rPr/>
      </w:pPr>
      <w:r>
        <w:rPr>
          <w:rFonts w:eastAsia="Mendl Sans Dusk Regular" w:cs="Mendl Sans Dusk Regular"/>
          <w:b/>
          <w:i w:val="false"/>
          <w:color w:val="000000"/>
          <w:sz w:val="22"/>
        </w:rPr>
        <w:t>TIER 5: INFRASTRUCTURE &amp; SUPPORT</w:t>
      </w:r>
    </w:p>
    <w:p>
      <w:pPr>
        <w:pStyle w:val="Normal"/>
        <w:widowControl/>
        <w:rPr/>
      </w:pPr>
      <w:r>
        <w:rPr>
          <w:rFonts w:eastAsia="Mendl Sans Dusk Regular" w:cs="Mendl Sans Dusk Regular"/>
          <w:b w:val="false"/>
          <w:i/>
          <w:color w:val="000000"/>
          <w:sz w:val="22"/>
        </w:rPr>
        <w:t>Documents that govern digital systems and employee onboarding.</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160"/>
        <w:gridCol w:w="2160"/>
        <w:gridCol w:w="2160"/>
        <w:gridCol w:w="2160"/>
      </w:tblGrid>
      <w:tr>
        <w:trPr/>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Prefix</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Document Title</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Primary Owner</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Enterprise Role</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IT</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IT &amp; Digital Infrastructure Guide</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IT Specialist</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Governs M365, Procore RBAC, data retention, and cybersecurity.</w:t>
            </w:r>
          </w:p>
        </w:tc>
      </w:tr>
      <w:tr>
        <w:trPr/>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NE</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New Employee Orientation Guide</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HR Director</w:t>
            </w:r>
          </w:p>
        </w:tc>
        <w:tc>
          <w:tcPr>
            <w:tcW w:w="2160"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i w:val="false"/>
                <w:color w:val="000000"/>
                <w:kern w:val="0"/>
                <w:sz w:val="17"/>
                <w:szCs w:val="22"/>
                <w:lang w:val="en-US" w:eastAsia="en-US" w:bidi="ar-SA"/>
              </w:rPr>
              <w:t>Governs the 30/60/90-day onboarding milestones and system provisioning.</w:t>
            </w:r>
          </w:p>
        </w:tc>
      </w:tr>
    </w:tbl>
    <w:p>
      <w:pPr>
        <w:pStyle w:val="Normal"/>
        <w:widowControl/>
        <w:rPr/>
      </w:pPr>
      <w:r>
        <w:rPr/>
      </w:r>
    </w:p>
    <w:p>
      <w:pPr>
        <w:pStyle w:val="Normal"/>
        <w:widowControl/>
        <w:rPr/>
      </w:pPr>
      <w:r>
        <w:rPr>
          <w:rFonts w:eastAsia="Mendl Sans Dusk Regular" w:cs="Mendl Sans Dusk Regular"/>
          <w:sz w:val="22"/>
        </w:rPr>
        <w:t>GENERAL ORDER: This index is the authoritative register for all MH Construction, INC documents.</w:t>
      </w:r>
    </w:p>
    <w:p>
      <w:pPr>
        <w:pStyle w:val="Normal"/>
        <w:widowControl/>
        <w:spacing w:before="0" w:after="120"/>
        <w:rPr/>
      </w:pPr>
      <w:r>
        <w:rPr>
          <w:rFonts w:eastAsia="Mendl Sans Dusk Regular" w:cs="Mendl Sans Dusk Regular"/>
          <w:sz w:val="22"/>
        </w:rPr>
        <w:t>FIELD INSTRUCTION: Submit any proposed additions or revisions to the COO for approval.</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4</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8" Type="http://schemas.openxmlformats.org/officeDocument/2006/relationships/footer" Target="footer3.xml"/><Relationship Id="rId13" Type="http://schemas.openxmlformats.org/officeDocument/2006/relationships/customXml" Target="../customXml/item1.xml"/><Relationship Id="rId3" Type="http://schemas.openxmlformats.org/officeDocument/2006/relationships/header" Target="header1.xml"/><Relationship Id="rId7" Type="http://schemas.openxmlformats.org/officeDocument/2006/relationships/footer" Target="footer2.xml"/><Relationship Id="rId12" Type="http://schemas.openxmlformats.org/officeDocument/2006/relationships/theme" Target="theme/theme1.xml"/><Relationship Id="rId2" Type="http://schemas.openxmlformats.org/officeDocument/2006/relationships/image" Target="media/image1.png"/><Relationship Id="rId16" Type="http://schemas.openxmlformats.org/officeDocument/2006/relationships/customXml" Target="../customXml/item4.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settings" Target="settings.xml"/><Relationship Id="rId5" Type="http://schemas.openxmlformats.org/officeDocument/2006/relationships/header" Target="header3.xml"/><Relationship Id="rId15" Type="http://schemas.openxmlformats.org/officeDocument/2006/relationships/customXml" Target="../customXml/item3.xml"/><Relationship Id="rId10" Type="http://schemas.openxmlformats.org/officeDocument/2006/relationships/fontTable" Target="fontTable.xml"/><Relationship Id="rId4" Type="http://schemas.openxmlformats.org/officeDocument/2006/relationships/header" Target="header2.xml"/><Relationship Id="rId9" Type="http://schemas.openxmlformats.org/officeDocument/2006/relationships/numbering" Target="numbering.xml"/><Relationship Id="rId14" Type="http://schemas.openxmlformats.org/officeDocument/2006/relationships/customXml" Target="../customXml/item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EC40A4A-576A-40E4-80DB-BDB2BC57D2DA}"/>
</file>

<file path=customXml/itemProps3.xml><?xml version="1.0" encoding="utf-8"?>
<ds:datastoreItem xmlns:ds="http://schemas.openxmlformats.org/officeDocument/2006/customXml" ds:itemID="{B6C9EA27-F0D9-4F99-BA31-5E9F62C2AC2C}"/>
</file>

<file path=customXml/itemProps4.xml><?xml version="1.0" encoding="utf-8"?>
<ds:datastoreItem xmlns:ds="http://schemas.openxmlformats.org/officeDocument/2006/customXml" ds:itemID="{49C3A182-8939-44D1-BC58-C33EBF4A95EA}"/>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4</Pages>
  <Words>622</Words>
  <Characters>3932</Characters>
  <CharactersWithSpaces>4428</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MH Enterprise Master Document Index</dc:title>
  <dc:subject>MH Ecosystem Version 1.0 Draft</dc:subject>
  <dc:creator>Matt Ramsey</dc:creator>
  <dc:description>Controlled Rough Draft. Not approved for operational use.</dc:description>
  <cp:lastModifiedBy/>
  <cp:revision>8</cp:revision>
  <dcterms:created xsi:type="dcterms:W3CDTF">2013-12-23T23:15:00Z</dcterms:created>
  <dcterms:modified xsi:type="dcterms:W3CDTF">2026-08-05T19:38:50Z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