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MH Quality Management Plan</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CORE DOCTRINE</w:t>
              <w:br/>
              <w:t>Document title: MH Quality Management Plan</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Normal"/>
        <w:widowControl/>
        <w:spacing w:before="560" w:after="360"/>
        <w:rPr/>
      </w:pPr>
      <w:r>
        <w:rPr/>
        <w:drawing>
          <wp:inline distT="0" distB="0" distL="0" distR="0">
            <wp:extent cx="2331720" cy="13290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2331720" cy="1329055"/>
                    </a:xfrm>
                    <a:prstGeom prst="rect">
                      <a:avLst/>
                    </a:prstGeom>
                    <a:noFill/>
                  </pic:spPr>
                </pic:pic>
              </a:graphicData>
            </a:graphic>
          </wp:inline>
        </w:drawing>
      </w:r>
    </w:p>
    <w:p>
      <w:pPr>
        <w:pStyle w:val="Title"/>
        <w:widowControl/>
        <w:spacing w:before="160" w:after="200"/>
        <w:contextualSpacing/>
        <w:rPr/>
      </w:pPr>
      <w:r>
        <w:rPr>
          <w:rFonts w:eastAsia="Mendl Sans Dusk Bold" w:cs="Mendl Sans Dusk Bold" w:ascii="Mendl Sans Dusk Bold" w:hAnsi="Mendl Sans Dusk Bold"/>
          <w:b/>
          <w:color w:val="386851"/>
          <w:sz w:val="54"/>
        </w:rPr>
        <w:t>MH Construction, INC Quality Management Program</w:t>
      </w:r>
    </w:p>
    <w:p>
      <w:pPr>
        <w:pStyle w:val="Heading2"/>
        <w:widowControl/>
        <w:rPr/>
      </w:pPr>
      <w:r>
        <w:rPr>
          <w:rFonts w:eastAsia="Mendl Sans Dusk Medium" w:cs="Mendl Sans Dusk Medium" w:ascii="Mendl Sans Dusk Medium" w:hAnsi="Mendl Sans Dusk Medium"/>
          <w:b/>
          <w:color w:val="628F79"/>
          <w:sz w:val="26"/>
        </w:rPr>
        <w:t>Controlled functional standard and operating evidence</w:t>
      </w:r>
    </w:p>
    <w:p>
      <w:pPr>
        <w:pStyle w:val="Normal"/>
        <w:widowControl/>
        <w:rPr/>
      </w:pPr>
      <w:r>
        <w:rPr>
          <w:rFonts w:eastAsia="Mendl Sans Dusk Regular" w:cs="Mendl Sans Dusk Regular"/>
          <w:b/>
          <w:color w:val="202723"/>
          <w:sz w:val="21"/>
        </w:rPr>
        <w:t>Document ID: QMP-001 Version: 1.0 Owner: Quality Lead / COO Approver: Jeremy Thamert, Owner/CEO Status: Rough Draft - functional, technical and field review required Classification: Internal - controlled System of record: Project quality repository Review cycle: Annual and upon material change</w:t>
      </w:r>
    </w:p>
    <w:tbl>
      <w:tblPr>
        <w:tblW w:w="9360" w:type="dxa"/>
        <w:jc w:val="start"/>
        <w:tblInd w:w="180" w:type="dxa"/>
        <w:tblLayout w:type="fixed"/>
        <w:tblCellMar>
          <w:top w:w="140" w:type="dxa"/>
          <w:start w:w="180" w:type="dxa"/>
          <w:bottom w:w="140" w:type="dxa"/>
          <w:end w:w="180" w:type="dxa"/>
        </w:tblCellMar>
        <w:tblLook w:val="04a0" w:firstRow="1" w:noVBand="1" w:lastRow="0" w:firstColumn="1" w:lastColumn="0" w:noHBand="0"/>
      </w:tblPr>
      <w:tblGrid>
        <w:gridCol w:w="9360"/>
      </w:tblGrid>
      <w:tr>
        <w:trPr/>
        <w:tc>
          <w:tcPr>
            <w:tcW w:w="9360" w:type="dxa"/>
            <w:tcBorders/>
            <w:shd w:fill="386851" w:val="clear"/>
            <w:vAlign w:val="center"/>
          </w:tcPr>
          <w:p>
            <w:pPr>
              <w:pStyle w:val="Normal"/>
              <w:widowControl/>
              <w:spacing w:before="0" w:after="40"/>
              <w:rPr/>
            </w:pPr>
            <w:r>
              <w:rPr>
                <w:rFonts w:eastAsia="Mendl Sans Dusk Regular" w:cs="Mendl Sans Dusk Regular"/>
                <w:b/>
                <w:color w:val="FFFFFF"/>
                <w:sz w:val="17"/>
              </w:rPr>
              <w:t>This standard follows the original MH Ecosystem document-family architecture. It operates with the Enterprise Management System, the approved project requirements, applicable law, engineered design, manufacturer instructions and executed contracts. When requirements conflict, stop the affected work or decision and escalate it.</w:t>
            </w:r>
          </w:p>
        </w:tc>
      </w:tr>
    </w:tbl>
    <w:p>
      <w:pPr>
        <w:pStyle w:val="Normal"/>
        <w:widowControl/>
        <w:spacing w:before="0" w:after="20"/>
        <w:rPr/>
      </w:pPr>
      <w:r>
        <w:rPr/>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1. Purpose and authority</w:t>
      </w:r>
    </w:p>
    <w:p>
      <w:pPr>
        <w:pStyle w:val="Normal"/>
        <w:widowControl/>
        <w:rPr/>
      </w:pPr>
      <w:r>
        <w:rPr>
          <w:rFonts w:eastAsia="Mendl Sans Dusk Regular" w:cs="Mendl Sans Dusk Regular"/>
          <w:b w:val="false"/>
          <w:color w:val="202723"/>
          <w:sz w:val="21"/>
        </w:rPr>
        <w:t>This manual establishes the accountable process, required evidence and release conditions for quality management program. It does not authorize a departure from a contract, law, technical instruction or safety requirement. The owner assigns trained delegates but retains accountability for process performance and evidence quality.</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2. Required controls</w:t>
      </w:r>
    </w:p>
    <w:tbl>
      <w:tblPr>
        <w:tblStyle w:val="TableGrid"/>
        <w:tblW w:w="9878"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No.</w:t>
            </w:r>
          </w:p>
        </w:tc>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Required control</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quality plan and inspection/test plan</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2</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First-work inspection, hold points and mockups</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3</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Nonconformance, corrective action and turnover verification</w:t>
            </w:r>
          </w:p>
        </w:tc>
      </w:tr>
    </w:tbl>
    <w:p>
      <w:pPr>
        <w:pStyle w:val="Normal"/>
        <w:widowControl/>
        <w:spacing w:before="0" w:after="20"/>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3. Operating workflow</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Approve QMP-PLAN-ITP-001 before mobilization.</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Stop at a hold point until the listed acceptance evidence is complete.</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Issue QMP-NCR-001 for nonconforming work and verify reinspection before closure.</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4. Evidence and records</w:t>
      </w:r>
    </w:p>
    <w:p>
      <w:pPr>
        <w:pStyle w:val="Normal"/>
        <w:widowControl/>
        <w:rPr/>
      </w:pPr>
      <w:r>
        <w:rPr>
          <w:rFonts w:eastAsia="Mendl Sans Dusk Regular" w:cs="Mendl Sans Dusk Regular"/>
          <w:b w:val="false"/>
          <w:color w:val="202723"/>
          <w:sz w:val="21"/>
        </w:rPr>
        <w:t>The following records prove execution. Each record must identify project, employee, asset, vendor or transaction reference; preparer; date/time; reviewer; disposition; system-of-record location; and closure evidence where applicable.</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QMP-PLAN-ITP-001</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QMP-NCR-001</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Closeout turnover index</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5. Exceptions, escalation and assurance</w:t>
      </w:r>
    </w:p>
    <w:p>
      <w:pPr>
        <w:pStyle w:val="Normal"/>
        <w:widowControl/>
        <w:spacing w:before="0" w:after="120"/>
        <w:rPr/>
      </w:pPr>
      <w:r>
        <w:rPr>
          <w:rFonts w:eastAsia="Mendl Sans Dusk Regular" w:cs="Mendl Sans Dusk Regular"/>
          <w:b w:val="false"/>
          <w:color w:val="202723"/>
          <w:sz w:val="21"/>
        </w:rPr>
        <w:t>An exception requires written scope, reason, risk, compensating control, owner, approval authority, expiration and evidence location. Material failures, overdue actions, repeat events, suspected fraud, safety risks, quality failures, cyber events or contract exposures escalate immediately to the accountable owner and executive leadership. The owner reviews operating evidence at the required management cadence and initiates a controlled revision when the process, source requirements or organization changes.</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7</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48991B0-7E76-45D8-B6A5-F4C89E25F9C7}"/>
</file>

<file path=customXml/itemProps2.xml><?xml version="1.0" encoding="utf-8"?>
<ds:datastoreItem xmlns:ds="http://schemas.openxmlformats.org/officeDocument/2006/customXml" ds:itemID="{4AC3D335-D583-4FE8-85B1-821860CD12AB}"/>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458BAAE7-EBAA-4300-8028-F7BE6FBDCEC1}"/>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7</Pages>
  <Words>396</Words>
  <Characters>2561</Characters>
  <CharactersWithSpaces>2916</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2026-08-05T19:38:52Z</dcterms:modified>
  <cp:revision>8</cp:revision>
  <dc:subject>MH Ecosystem Version 1.0 Draft</dc:subject>
  <dc:title>MH Quality Management Plan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