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Project Execution Playbook</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PROJECT DELIVERY</w:t>
              <w:br/>
              <w:t>Document title: MH Project Execution Playbook</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spacing w:before="560" w:after="360"/>
        <w:rPr/>
      </w:pPr>
      <w:r>
        <w:rPr/>
        <w:drawing>
          <wp:inline distT="0" distB="0" distL="0" distR="0">
            <wp:extent cx="2331720" cy="13290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2331720" cy="1329055"/>
                    </a:xfrm>
                    <a:prstGeom prst="rect">
                      <a:avLst/>
                    </a:prstGeom>
                    <a:noFill/>
                  </pic:spPr>
                </pic:pic>
              </a:graphicData>
            </a:graphic>
          </wp:inline>
        </w:drawing>
      </w:r>
    </w:p>
    <w:p>
      <w:pPr>
        <w:pStyle w:val="Title"/>
        <w:widowControl/>
        <w:spacing w:before="160" w:after="200"/>
        <w:contextualSpacing/>
        <w:rPr/>
      </w:pPr>
      <w:r>
        <w:rPr>
          <w:rFonts w:eastAsia="Mendl Sans Dusk Bold" w:cs="Mendl Sans Dusk Bold" w:ascii="Mendl Sans Dusk Bold" w:hAnsi="Mendl Sans Dusk Bold"/>
          <w:b/>
          <w:color w:val="386851"/>
          <w:sz w:val="54"/>
        </w:rPr>
        <w:t>MH Construction, INC Project Execution Playbook</w:t>
      </w:r>
    </w:p>
    <w:p>
      <w:pPr>
        <w:pStyle w:val="Heading2"/>
        <w:widowControl/>
        <w:rPr/>
      </w:pPr>
      <w:r>
        <w:rPr>
          <w:rFonts w:eastAsia="Mendl Sans Dusk Medium" w:cs="Mendl Sans Dusk Medium" w:ascii="Mendl Sans Dusk Medium" w:hAnsi="Mendl Sans Dusk Medium"/>
          <w:b/>
          <w:color w:val="628F79"/>
          <w:sz w:val="26"/>
        </w:rPr>
        <w:t>Controlled functional standard and operating evidence</w:t>
      </w:r>
    </w:p>
    <w:p>
      <w:pPr>
        <w:pStyle w:val="Normal"/>
        <w:widowControl/>
        <w:rPr/>
      </w:pPr>
      <w:r>
        <w:rPr>
          <w:rFonts w:eastAsia="Mendl Sans Dusk Regular" w:cs="Mendl Sans Dusk Regular"/>
          <w:b/>
          <w:color w:val="202723"/>
          <w:sz w:val="21"/>
        </w:rPr>
        <w:t>Document ID: PEP-001 Version: 1.0 Owner: COO / PM Wing Lead Approver: Jeremy Thamert, Owner/CEO Status: Rough Draft - functional, technical and field review required Classification: Internal - controlled System of record: Project system of record Review cycle: Annual and upon material change</w:t>
      </w:r>
    </w:p>
    <w:tbl>
      <w:tblPr>
        <w:tblW w:w="9360" w:type="dxa"/>
        <w:jc w:val="start"/>
        <w:tblInd w:w="180" w:type="dxa"/>
        <w:tblLayout w:type="fixed"/>
        <w:tblCellMar>
          <w:top w:w="140" w:type="dxa"/>
          <w:start w:w="180" w:type="dxa"/>
          <w:bottom w:w="140" w:type="dxa"/>
          <w:end w:w="180" w:type="dxa"/>
        </w:tblCellMar>
        <w:tblLook w:val="04a0" w:firstRow="1" w:noVBand="1" w:lastRow="0" w:firstColumn="1" w:lastColumn="0" w:noHBand="0"/>
      </w:tblPr>
      <w:tblGrid>
        <w:gridCol w:w="9360"/>
      </w:tblGrid>
      <w:tr>
        <w:trPr/>
        <w:tc>
          <w:tcPr>
            <w:tcW w:w="9360" w:type="dxa"/>
            <w:tcBorders/>
            <w:shd w:fill="386851" w:val="clear"/>
            <w:vAlign w:val="center"/>
          </w:tcPr>
          <w:p>
            <w:pPr>
              <w:pStyle w:val="Normal"/>
              <w:widowControl/>
              <w:spacing w:before="0" w:after="40"/>
              <w:rPr/>
            </w:pPr>
            <w:r>
              <w:rPr>
                <w:rFonts w:eastAsia="Mendl Sans Dusk Regular" w:cs="Mendl Sans Dusk Regular"/>
                <w:b/>
                <w:color w:val="FFFFFF"/>
                <w:sz w:val="17"/>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pStyle w:val="Normal"/>
        <w:widowControl/>
        <w:spacing w:before="0" w:after="20"/>
        <w:rPr/>
      </w:pPr>
      <w:r>
        <w:rPr/>
      </w:r>
    </w:p>
    <w:p>
      <w:pPr>
        <w:pStyle w:val="Normal"/>
        <w:widowControl/>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1. Purpose and authority</w:t>
      </w:r>
    </w:p>
    <w:p>
      <w:pPr>
        <w:pStyle w:val="Normal"/>
        <w:widowControl/>
        <w:rPr/>
      </w:pPr>
      <w:r>
        <w:rPr>
          <w:rFonts w:eastAsia="Mendl Sans Dusk Regular" w:cs="Mendl Sans Dusk Regular"/>
          <w:b w:val="false"/>
          <w:color w:val="202723"/>
          <w:sz w:val="21"/>
        </w:rPr>
        <w:t>This manual establishes the accountable process, required evidence and release conditions for project execution playbook. It does not authorize a departure from a contract, law, technical instruction or safety requirement. The owner assigns trained delegates but retains accountability for process performance and evidence quality.</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2. Required controls</w:t>
      </w:r>
    </w:p>
    <w:tbl>
      <w:tblPr>
        <w:tblStyle w:val="TableGrid"/>
        <w:tblW w:w="9878" w:type="dxa"/>
        <w:jc w:val="start"/>
        <w:tblInd w:w="0" w:type="dxa"/>
        <w:tblLayout w:type="fixed"/>
        <w:tblCellMar>
          <w:top w:w="80" w:type="dxa"/>
          <w:start w:w="120" w:type="dxa"/>
          <w:bottom w:w="80" w:type="dxa"/>
          <w:end w:w="120" w:type="dxa"/>
        </w:tblCellMar>
        <w:tblLook w:val="04a0" w:firstRow="1" w:noVBand="1" w:lastRow="0" w:firstColumn="1" w:lastColumn="0" w:noHBand="0"/>
      </w:tblPr>
      <w:tblGrid>
        <w:gridCol w:w="4939"/>
        <w:gridCol w:w="4939"/>
      </w:tblGrid>
      <w:tr>
        <w:trPr/>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No.</w:t>
            </w:r>
          </w:p>
        </w:tc>
        <w:tc>
          <w:tcPr>
            <w:tcW w:w="4939" w:type="dxa"/>
            <w:tcBorders/>
            <w:shd w:fill="386851"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Medium" w:cs="Mendl Sans Dusk Medium"/>
                <w:b/>
                <w:color w:val="FFFFFF"/>
                <w:kern w:val="0"/>
                <w:sz w:val="17"/>
                <w:szCs w:val="22"/>
                <w:lang w:val="en-US" w:eastAsia="en-US" w:bidi="ar-SA"/>
              </w:rPr>
              <w:t>Required control</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1</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Eight lifecycle gates from pursuit through final closeout</w:t>
            </w:r>
          </w:p>
        </w:tc>
      </w:tr>
      <w:tr>
        <w:trPr/>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2</w:t>
            </w:r>
          </w:p>
        </w:tc>
        <w:tc>
          <w:tcPr>
            <w:tcW w:w="4939" w:type="dxa"/>
            <w:tcBorders/>
            <w:shd w:fill="F3F6F3" w:val="clear"/>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Schedule, procurement, RFI, submittal, change and meeting control</w:t>
            </w:r>
          </w:p>
        </w:tc>
      </w:tr>
      <w:tr>
        <w:trPr/>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3</w:t>
            </w:r>
          </w:p>
        </w:tc>
        <w:tc>
          <w:tcPr>
            <w:tcW w:w="4939" w:type="dxa"/>
            <w:tcBorders/>
            <w:vAlign w:val="center"/>
          </w:tcPr>
          <w:p>
            <w:pPr>
              <w:pStyle w:val="Normal"/>
              <w:widowControl/>
              <w:suppressAutoHyphens w:val="true"/>
              <w:spacing w:before="0" w:after="40"/>
              <w:jc w:val="start"/>
              <w:rPr>
                <w:rFonts w:eastAsia="ＭＳ 明朝" w:cs=""/>
                <w:kern w:val="0"/>
                <w:szCs w:val="22"/>
                <w:lang w:val="en-US" w:eastAsia="en-US" w:bidi="ar-SA"/>
              </w:rPr>
            </w:pPr>
            <w:r>
              <w:rPr>
                <w:rFonts w:eastAsia="Mendl Sans Dusk Regular" w:cs="Mendl Sans Dusk Regular"/>
                <w:b w:val="false"/>
                <w:color w:val="202723"/>
                <w:kern w:val="0"/>
                <w:sz w:val="17"/>
                <w:szCs w:val="22"/>
                <w:lang w:val="en-US" w:eastAsia="en-US" w:bidi="ar-SA"/>
              </w:rPr>
              <w:t>Safety, quality and closeout integration</w:t>
            </w:r>
          </w:p>
        </w:tc>
      </w:tr>
    </w:tbl>
    <w:p>
      <w:pPr>
        <w:pStyle w:val="Normal"/>
        <w:widowControl/>
        <w:spacing w:before="0" w:after="20"/>
        <w:rPr/>
      </w:pPr>
      <w:r>
        <w:rPr/>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3. Operating workflow</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Complete the applicable gate evidence or obtain a documented exception.</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Maintain the approved baseline, three-week lookahead and current project logs.</w:t>
      </w:r>
    </w:p>
    <w:p>
      <w:pPr>
        <w:pStyle w:val="ListNumber"/>
        <w:widowControl/>
        <w:numPr>
          <w:ilvl w:val="0"/>
          <w:numId w:val="4"/>
        </w:numPr>
        <w:spacing w:lineRule="auto" w:line="276" w:before="0" w:after="80"/>
        <w:ind w:hanging="259" w:start="461"/>
        <w:contextualSpacing/>
        <w:rPr/>
      </w:pPr>
      <w:r>
        <w:rPr>
          <w:rFonts w:eastAsia="Mendl Sans Dusk Regular" w:cs="Mendl Sans Dusk Regular"/>
          <w:b w:val="false"/>
          <w:color w:val="202723"/>
          <w:sz w:val="21"/>
        </w:rPr>
        <w:t>Retain closeout, warranty and client-acceptance evidence before final closure.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4. Evidence and records</w:t>
      </w:r>
    </w:p>
    <w:p>
      <w:pPr>
        <w:pStyle w:val="Normal"/>
        <w:widowControl/>
        <w:rPr/>
      </w:pPr>
      <w:r>
        <w:rPr>
          <w:rFonts w:eastAsia="Mendl Sans Dusk Regular" w:cs="Mendl Sans Dusk Regular"/>
          <w:b w:val="false"/>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OPS-GATE-HANDOFF-058</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Project gate checklist</w:t>
      </w:r>
    </w:p>
    <w:p>
      <w:pPr>
        <w:pStyle w:val="ListBullet"/>
        <w:widowControl/>
        <w:numPr>
          <w:ilvl w:val="0"/>
          <w:numId w:val="1"/>
        </w:numPr>
        <w:spacing w:lineRule="auto" w:line="276" w:before="0" w:after="80"/>
        <w:ind w:hanging="259" w:start="461"/>
        <w:contextualSpacing/>
        <w:rPr/>
      </w:pPr>
      <w:r>
        <w:rPr>
          <w:rFonts w:eastAsia="Mendl Sans Dusk Regular" w:cs="Mendl Sans Dusk Regular"/>
          <w:b w:val="false"/>
          <w:color w:val="202723"/>
          <w:sz w:val="21"/>
        </w:rPr>
        <w:t>Closeout acceptance certificate</w:t>
      </w:r>
      <w:r>
        <w:br w:type="page"/>
      </w:r>
    </w:p>
    <w:p>
      <w:pPr>
        <w:pStyle w:val="Heading2"/>
        <w:keepNext w:val="true"/>
        <w:widowControl/>
        <w:spacing w:before="0" w:after="120"/>
        <w:rPr/>
      </w:pPr>
      <w:r>
        <w:rPr>
          <w:rFonts w:eastAsia="Mendl Sans Dusk Medium" w:cs="Mendl Sans Dusk Medium" w:ascii="Mendl Sans Dusk Medium" w:hAnsi="Mendl Sans Dusk Medium"/>
          <w:b/>
          <w:color w:val="628F79"/>
          <w:sz w:val="26"/>
        </w:rPr>
        <w:t>5. Exceptions, escalation and assurance</w:t>
      </w:r>
    </w:p>
    <w:p>
      <w:pPr>
        <w:pStyle w:val="Normal"/>
        <w:widowControl/>
        <w:spacing w:before="0" w:after="120"/>
        <w:rPr/>
      </w:pPr>
      <w:r>
        <w:rPr>
          <w:rFonts w:eastAsia="Mendl Sans Dusk Regular" w:cs="Mendl Sans Dusk Regular"/>
          <w:b w:val="false"/>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Bold">
    <w:charset w:val="00" w:characterSet="windows-1252"/>
    <w:family w:val="roman"/>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7</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42E2D212-88B0-479E-A0D7-19AF84329FB2}"/>
</file>

<file path=customXml/itemProps2.xml><?xml version="1.0" encoding="utf-8"?>
<ds:datastoreItem xmlns:ds="http://schemas.openxmlformats.org/officeDocument/2006/customXml" ds:itemID="{45A333BD-898F-46C7-AE9E-EFE7949DF6D0}"/>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1D1EA132-B5EC-4D15-9F14-FAC71B1654AC}"/>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7</Pages>
  <Words>406</Words>
  <Characters>2625</Characters>
  <CharactersWithSpaces>2990</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Matt Ramsey</dc:creator>
  <dc:description>Controlled Rough Draft. Not approved for operational use.</dc:description>
  <dc:language>en-US</dc:language>
  <cp:lastModifiedBy/>
  <dcterms:modified xsi:type="dcterms:W3CDTF">2026-08-05T19:38:57Z</dcterms:modified>
  <cp:revision>7</cp:revision>
  <dc:subject>MH Ecosystem Version 1.0 Draft</dc:subject>
  <dc:title>MH Project Execution Playbook</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