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widowControl/>
              <w:spacing w:before="0" w:after="40"/>
              <w:jc w:val="center"/>
              <w:rPr/>
            </w:pPr>
            <w:r>
              <w:rPr/>
              <w:drawing>
                <wp:inline distT="0" distB="0" distL="0" distR="0">
                  <wp:extent cx="2148840" cy="122491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widowControl/>
              <w:spacing w:before="0" w:after="40"/>
              <w:jc w:val="start"/>
              <w:rPr/>
            </w:pPr>
            <w:r>
              <w:rPr>
                <w:rFonts w:eastAsia="Mendl Sans Dusk Regular" w:cs="Mendl Sans Dusk Regular"/>
                <w:b/>
                <w:color w:val="BD9264"/>
                <w:sz w:val="18"/>
              </w:rPr>
              <w:t>CONTROLLED ENTERPRISE DOCUMENT</w:t>
            </w:r>
          </w:p>
          <w:p>
            <w:pPr>
              <w:pStyle w:val="Normal"/>
              <w:widowControl/>
              <w:spacing w:before="0" w:after="40"/>
              <w:jc w:val="start"/>
              <w:rPr/>
            </w:pPr>
            <w:r>
              <w:rPr>
                <w:rFonts w:eastAsia="Mendl Sans Dusk Bold" w:cs="Mendl Sans Dusk Bold"/>
                <w:b/>
                <w:color w:val="386851"/>
                <w:sz w:val="48"/>
              </w:rPr>
              <w:t>MH Equipment Operators Manual</w:t>
            </w:r>
          </w:p>
          <w:p>
            <w:pPr>
              <w:pStyle w:val="Normal"/>
              <w:widowControl/>
              <w:spacing w:before="0" w:after="40"/>
              <w:jc w:val="start"/>
              <w:rPr/>
            </w:pPr>
            <w:r>
              <w:rPr>
                <w:rFonts w:eastAsia="Mendl Sans Dusk Regular" w:cs="Mendl Sans Dusk Regular"/>
                <w:b w:val="false"/>
                <w:color w:val="386851"/>
                <w:sz w:val="20"/>
              </w:rPr>
              <w:t>MH Construction, INC Enterprise Management System</w:t>
            </w:r>
          </w:p>
          <w:p>
            <w:pPr>
              <w:pStyle w:val="Normal"/>
              <w:widowControl/>
              <w:spacing w:before="0" w:after="40"/>
              <w:jc w:val="start"/>
              <w:rPr/>
            </w:pPr>
            <w:r>
              <w:rPr>
                <w:rFonts w:eastAsia="Mendl Sans Dusk Regular" w:cs="Mendl Sans Dusk Regular"/>
                <w:b w:val="false"/>
                <w:color w:val="434343"/>
                <w:sz w:val="18"/>
              </w:rPr>
              <w:t>Document family: SAFETY AND FIELD OPERATIONS</w:t>
              <w:br/>
              <w:t>Document title: MH Equipment Operators Manual</w:t>
              <w:br/>
              <w:t>Version: 1.0 | Lifecycle: Rough Draft</w:t>
            </w:r>
          </w:p>
          <w:p>
            <w:pPr>
              <w:pStyle w:val="Normal"/>
              <w:widowControl/>
              <w:pBdr>
                <w:bottom w:val="single" w:sz="6" w:space="7" w:color="BD9264"/>
              </w:pBdr>
              <w:spacing w:before="120" w:after="40"/>
              <w:rPr/>
            </w:pPr>
            <w:r>
              <w:rPr>
                <w:rFonts w:eastAsia="Mendl Sans Dusk Regular" w:cs="Mendl Sans Dusk Regular"/>
                <w:b w:val="false"/>
                <w:color w:val="434343"/>
                <w:sz w:val="16"/>
              </w:rPr>
              <w:t>Use only after required functional, technical, field-usability, and approval gates are complete.</w:t>
            </w:r>
          </w:p>
        </w:tc>
      </w:tr>
    </w:tbl>
    <w:p>
      <w:pPr>
        <w:pStyle w:val="Normal"/>
        <w:widowControl/>
        <w:rPr/>
      </w:pPr>
      <w:r>
        <w:rPr/>
      </w:r>
      <w:r>
        <w:br w:type="page"/>
      </w:r>
    </w:p>
    <w:p>
      <w:pPr>
        <w:pStyle w:val="Normal"/>
        <w:spacing w:before="0" w:after="120"/>
        <w:rPr/>
      </w:pPr>
      <w:r>
        <w:rPr/>
        <w:t>Control: Version 1.0 | Status Rough Draft | Author and Chief Editor: Matt Ramsey | Co-Editor: Todd Shoeff | Final Approver: Jeremy Thamert</w:t>
      </w:r>
    </w:p>
    <w:p>
      <w:pPr>
        <w:pStyle w:val="Normal"/>
        <w:widowControl/>
        <w:spacing w:before="560" w:after="360"/>
        <w:rPr/>
      </w:pPr>
      <w:r>
        <w:rPr/>
        <w:drawing>
          <wp:inline distT="0" distB="0" distL="0" distR="0">
            <wp:extent cx="2331720" cy="132905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2331720" cy="1329055"/>
                    </a:xfrm>
                    <a:prstGeom prst="rect">
                      <a:avLst/>
                    </a:prstGeom>
                    <a:noFill/>
                  </pic:spPr>
                </pic:pic>
              </a:graphicData>
            </a:graphic>
          </wp:inline>
        </w:drawing>
      </w:r>
    </w:p>
    <w:p>
      <w:pPr>
        <w:pStyle w:val="Title"/>
        <w:widowControl/>
        <w:spacing w:before="160" w:after="200"/>
        <w:contextualSpacing/>
        <w:rPr/>
      </w:pPr>
      <w:r>
        <w:rPr>
          <w:rFonts w:eastAsia="Mendl Sans Dusk Bold" w:cs="Mendl Sans Dusk Bold" w:ascii="Mendl Sans Dusk Bold" w:hAnsi="Mendl Sans Dusk Bold"/>
          <w:b/>
          <w:color w:val="386851"/>
          <w:sz w:val="54"/>
        </w:rPr>
        <w:t>MH Construction, INC Equipment and Fleet Management Manual</w:t>
      </w:r>
    </w:p>
    <w:p>
      <w:pPr>
        <w:pStyle w:val="Heading2"/>
        <w:widowControl/>
        <w:rPr/>
      </w:pPr>
      <w:r>
        <w:rPr>
          <w:rFonts w:eastAsia="Mendl Sans Dusk Medium" w:cs="Mendl Sans Dusk Medium" w:ascii="Mendl Sans Dusk Medium" w:hAnsi="Mendl Sans Dusk Medium"/>
          <w:b/>
          <w:color w:val="628F79"/>
          <w:sz w:val="26"/>
        </w:rPr>
        <w:t>Controlled functional standard and operating evidence</w:t>
      </w:r>
    </w:p>
    <w:p>
      <w:pPr>
        <w:pStyle w:val="Normal"/>
        <w:widowControl/>
        <w:rPr/>
      </w:pPr>
      <w:r>
        <w:rPr>
          <w:rFonts w:eastAsia="Mendl Sans Dusk Regular" w:cs="Mendl Sans Dusk Regular"/>
          <w:b/>
          <w:color w:val="202723"/>
          <w:sz w:val="21"/>
        </w:rPr>
        <w:t>Document ID: EOM-001 Version: 1.0 Owner: Fleet Commander Approver: Jeremy Thamert, Owner/CEO Status: Rough Draft - functional, technical and field review required Classification: Internal - controlled System of record: Fleet maintenance repository Review cycle: Annual and upon material change</w:t>
      </w:r>
    </w:p>
    <w:tbl>
      <w:tblPr>
        <w:tblW w:w="9360" w:type="dxa"/>
        <w:jc w:val="start"/>
        <w:tblInd w:w="180" w:type="dxa"/>
        <w:tblLayout w:type="fixed"/>
        <w:tblCellMar>
          <w:top w:w="140" w:type="dxa"/>
          <w:start w:w="180" w:type="dxa"/>
          <w:bottom w:w="140" w:type="dxa"/>
          <w:end w:w="180" w:type="dxa"/>
        </w:tblCellMar>
        <w:tblLook w:val="04a0" w:firstRow="1" w:noVBand="1" w:lastRow="0" w:firstColumn="1" w:lastColumn="0" w:noHBand="0"/>
      </w:tblPr>
      <w:tblGrid>
        <w:gridCol w:w="9360"/>
      </w:tblGrid>
      <w:tr>
        <w:trPr/>
        <w:tc>
          <w:tcPr>
            <w:tcW w:w="9360" w:type="dxa"/>
            <w:tcBorders/>
            <w:shd w:fill="386851" w:val="clear"/>
            <w:vAlign w:val="center"/>
          </w:tcPr>
          <w:p>
            <w:pPr>
              <w:pStyle w:val="Normal"/>
              <w:widowControl/>
              <w:spacing w:before="0" w:after="40"/>
              <w:rPr/>
            </w:pPr>
            <w:r>
              <w:rPr>
                <w:rFonts w:eastAsia="Mendl Sans Dusk Regular" w:cs="Mendl Sans Dusk Regular"/>
                <w:b/>
                <w:color w:val="FFFFFF"/>
                <w:sz w:val="17"/>
              </w:rPr>
              <w:t>This standard follows the original MH Ecosystem document-family architecture. It operates with the Enterprise Management System, the approved project requirements, applicable law, engineered design, manufacturer instructions and executed contracts. When requirements conflict, stop the affected work or decision and escalate it.</w:t>
            </w:r>
          </w:p>
        </w:tc>
      </w:tr>
    </w:tbl>
    <w:p>
      <w:pPr>
        <w:pStyle w:val="Normal"/>
        <w:widowControl/>
        <w:spacing w:before="0" w:after="20"/>
        <w:rPr/>
      </w:pPr>
      <w:r>
        <w:rPr/>
      </w:r>
    </w:p>
    <w:p>
      <w:pPr>
        <w:pStyle w:val="Normal"/>
        <w:widowControl/>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1. Purpose and authority</w:t>
      </w:r>
    </w:p>
    <w:p>
      <w:pPr>
        <w:pStyle w:val="Normal"/>
        <w:widowControl/>
        <w:rPr/>
      </w:pPr>
      <w:r>
        <w:rPr>
          <w:rFonts w:eastAsia="Mendl Sans Dusk Regular" w:cs="Mendl Sans Dusk Regular"/>
          <w:b w:val="false"/>
          <w:color w:val="202723"/>
          <w:sz w:val="21"/>
        </w:rPr>
        <w:t>This manual establishes the accountable process, required evidence and release conditions for equipment and fleet management manual. It does not authorize a departure from a contract, law, technical instruction or safety requirement. The owner assigns trained delegates but retains accountability for process performance and evidence quality.</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2. Required controls</w:t>
      </w:r>
    </w:p>
    <w:tbl>
      <w:tblPr>
        <w:tblStyle w:val="TableGrid"/>
        <w:tblW w:w="9878"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4939"/>
        <w:gridCol w:w="4939"/>
      </w:tblGrid>
      <w:tr>
        <w:trPr/>
        <w:tc>
          <w:tcPr>
            <w:tcW w:w="49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No.</w:t>
            </w:r>
          </w:p>
        </w:tc>
        <w:tc>
          <w:tcPr>
            <w:tcW w:w="49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Required control</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Equipment authorization, inspection and defect removal</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2</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Preventive maintenance, repair and fleet availability</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3</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Vehicle, trailer and equipment assignment control</w:t>
            </w:r>
          </w:p>
        </w:tc>
      </w:tr>
    </w:tbl>
    <w:p>
      <w:pPr>
        <w:pStyle w:val="Normal"/>
        <w:widowControl/>
        <w:spacing w:before="0" w:after="20"/>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3. Operating workflow</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Verify operator qualification before dispatch.</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Remove unsafe equipment from service and document repair authorization.</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Track inspections, maintenance, defects, return-to-service and asset location.</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4. Evidence and records</w:t>
      </w:r>
    </w:p>
    <w:p>
      <w:pPr>
        <w:pStyle w:val="Normal"/>
        <w:widowControl/>
        <w:rPr/>
      </w:pPr>
      <w:r>
        <w:rPr>
          <w:rFonts w:eastAsia="Mendl Sans Dusk Regular" w:cs="Mendl Sans Dusk Regular"/>
          <w:b w:val="false"/>
          <w:color w:val="202723"/>
          <w:sz w:val="21"/>
        </w:rPr>
        <w:t>The following records prove execution. Each record must identify project, employee, asset, vendor or transaction reference; preparer; date/time; reviewer; disposition; system-of-record location; and closure evidence where applicable.</w:t>
      </w:r>
    </w:p>
    <w:p>
      <w:pPr>
        <w:pStyle w:val="ListBullet"/>
        <w:widowControl/>
        <w:numPr>
          <w:ilvl w:val="0"/>
          <w:numId w:val="1"/>
        </w:numPr>
        <w:spacing w:lineRule="auto" w:line="276" w:before="0" w:after="80"/>
        <w:ind w:hanging="259" w:start="461"/>
        <w:contextualSpacing/>
        <w:rPr/>
      </w:pPr>
      <w:r>
        <w:rPr>
          <w:rFonts w:eastAsia="Mendl Sans Dusk Regular" w:cs="Mendl Sans Dusk Regular"/>
          <w:b w:val="false"/>
          <w:color w:val="202723"/>
          <w:sz w:val="21"/>
        </w:rPr>
        <w:t>Operator certification log</w:t>
      </w:r>
    </w:p>
    <w:p>
      <w:pPr>
        <w:pStyle w:val="ListBullet"/>
        <w:widowControl/>
        <w:numPr>
          <w:ilvl w:val="0"/>
          <w:numId w:val="1"/>
        </w:numPr>
        <w:spacing w:lineRule="auto" w:line="276" w:before="0" w:after="80"/>
        <w:ind w:hanging="259" w:start="461"/>
        <w:contextualSpacing/>
        <w:rPr/>
      </w:pPr>
      <w:r>
        <w:rPr>
          <w:rFonts w:eastAsia="Mendl Sans Dusk Regular" w:cs="Mendl Sans Dusk Regular"/>
          <w:b w:val="false"/>
          <w:color w:val="202723"/>
          <w:sz w:val="21"/>
        </w:rPr>
        <w:t>Daily equipment inspection</w:t>
      </w:r>
    </w:p>
    <w:p>
      <w:pPr>
        <w:pStyle w:val="ListBullet"/>
        <w:widowControl/>
        <w:numPr>
          <w:ilvl w:val="0"/>
          <w:numId w:val="1"/>
        </w:numPr>
        <w:spacing w:lineRule="auto" w:line="276" w:before="0" w:after="80"/>
        <w:ind w:hanging="259" w:start="461"/>
        <w:contextualSpacing/>
        <w:rPr/>
      </w:pPr>
      <w:r>
        <w:rPr>
          <w:rFonts w:eastAsia="Mendl Sans Dusk Regular" w:cs="Mendl Sans Dusk Regular"/>
          <w:b w:val="false"/>
          <w:color w:val="202723"/>
          <w:sz w:val="21"/>
        </w:rPr>
        <w:t>Equipment maintenance request</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5. Exceptions, escalation and assurance</w:t>
      </w:r>
    </w:p>
    <w:p>
      <w:pPr>
        <w:pStyle w:val="Normal"/>
        <w:widowControl/>
        <w:rPr/>
      </w:pPr>
      <w:r>
        <w:rPr>
          <w:rFonts w:eastAsia="Mendl Sans Dusk Regular" w:cs="Mendl Sans Dusk Regular"/>
          <w:b w:val="false"/>
          <w:color w:val="202723"/>
          <w:sz w:val="21"/>
        </w:rPr>
        <w:t>An exception requires written scope, reason, risk, compensating control, owner, approval authority, expiration and evidence location. Material failures, overdue actions, repeat events, suspected fraud, safety risks, quality failures, cyber events or contract exposures escalate immediately to the accountable owner and executive leadership. The owner reviews operating evidence at the required management cadence and initiates a controlled revision when the process, source requirements or organization changes.</w:t>
      </w:r>
    </w:p>
    <w:p>
      <w:pPr>
        <w:pStyle w:val="Normal"/>
        <w:widowControl/>
        <w:rPr/>
      </w:pPr>
      <w:r>
        <w:rPr/>
      </w:r>
      <w:r>
        <w:br w:type="page"/>
      </w:r>
    </w:p>
    <w:p>
      <w:pPr>
        <w:pStyle w:val="Heading1"/>
        <w:keepNext w:val="true"/>
        <w:widowControl/>
        <w:spacing w:before="0" w:after="160"/>
        <w:rPr/>
      </w:pPr>
      <w:r>
        <w:rPr>
          <w:rFonts w:eastAsia="Mendl Sans Dusk Bold" w:cs="Mendl Sans Dusk Bold" w:ascii="Mendl Sans Dusk Bold" w:hAnsi="Mendl Sans Dusk Bold"/>
          <w:b/>
          <w:color w:val="386851"/>
          <w:sz w:val="32"/>
        </w:rPr>
        <w:t>CONTROL INTEGRATION | VERSION 1.0 ROUGH DRAFT</w:t>
      </w:r>
    </w:p>
    <w:p>
      <w:pPr>
        <w:pStyle w:val="Normal"/>
        <w:widowControl/>
        <w:rPr/>
      </w:pPr>
      <w:r>
        <w:rPr>
          <w:rFonts w:eastAsia="Mendl Sans Dusk Regular" w:cs="Mendl Sans Dusk Regular"/>
          <w:b/>
        </w:rPr>
        <w:t>Operator and mechanic execution controls</w:t>
      </w:r>
    </w:p>
    <w:p>
      <w:pPr>
        <w:pStyle w:val="Normal"/>
        <w:widowControl/>
        <w:rPr/>
      </w:pPr>
      <w:r>
        <w:rPr>
          <w:rFonts w:eastAsia="Mendl Sans Dusk Regular" w:cs="Mendl Sans Dusk Regular"/>
        </w:rPr>
        <w:t>Effective August 2026. This integration controls where it conflicts with earlier fleet, equipment, warehouse, or maintenance language in this document.</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EOM-09.0 Fleet Commander interface</w:t>
      </w:r>
    </w:p>
    <w:p>
      <w:pPr>
        <w:pStyle w:val="Normal"/>
        <w:widowControl/>
        <w:rPr/>
      </w:pPr>
      <w:r>
        <w:rPr>
          <w:rFonts w:eastAsia="Mendl Sans Dusk Regular" w:cs="Mendl Sans Dusk Regular"/>
        </w:rPr>
        <w:t>CEO &gt; COO &gt; Chief Superintendent &gt; Fleet Commander &gt; Mechanics and Operators. If a position is vacant or unavailable, authority moves to the next available position above it in this chain.</w:t>
      </w:r>
    </w:p>
    <w:p>
      <w:pPr>
        <w:pStyle w:val="Normal"/>
        <w:widowControl/>
        <w:rPr/>
      </w:pPr>
      <w:r>
        <w:rPr>
          <w:rFonts w:eastAsia="Mendl Sans Dusk Regular" w:cs="Mendl Sans Dusk Regular"/>
        </w:rPr>
        <w:t>Operators remain accountable to the onsite Foreman for daily production and to the Fleet Commander for equipment condition, readings, custody, and maintenance reporting.</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EOM-10.0 Inspection and defect decision</w:t>
      </w:r>
    </w:p>
    <w:p>
      <w:pPr>
        <w:pStyle w:val="Normal"/>
        <w:widowControl/>
        <w:rPr/>
      </w:pPr>
      <w:r>
        <w:rPr>
          <w:rFonts w:eastAsia="Mendl Sans Dusk Regular" w:cs="Mendl Sans Dusk Regular"/>
        </w:rPr>
        <w:t>Before use, the operator scans the asset QR code or enters the permanent asset ID, records employee ID, project/location, date, time, mileage or hours, and inspection results in the Field Command Center.</w:t>
      </w:r>
    </w:p>
    <w:p>
      <w:pPr>
        <w:pStyle w:val="ListBullet"/>
        <w:widowControl/>
        <w:numPr>
          <w:ilvl w:val="0"/>
          <w:numId w:val="1"/>
        </w:numPr>
        <w:rPr/>
      </w:pPr>
      <w:r>
        <w:rPr>
          <w:rFonts w:eastAsia="Mendl Sans Dusk Regular" w:cs="Mendl Sans Dusk Regular"/>
        </w:rPr>
        <w:t>Safety-critical defect: stop, isolate, tag out, notify the Foreman and Fleet Commander immediately.</w:t>
      </w:r>
    </w:p>
    <w:p>
      <w:pPr>
        <w:pStyle w:val="ListBullet"/>
        <w:widowControl/>
        <w:numPr>
          <w:ilvl w:val="0"/>
          <w:numId w:val="1"/>
        </w:numPr>
        <w:rPr/>
      </w:pPr>
      <w:r>
        <w:rPr>
          <w:rFonts w:eastAsia="Mendl Sans Dusk Regular" w:cs="Mendl Sans Dusk Regular"/>
        </w:rPr>
        <w:t>Non-safety defect: record it before operation and follow the Fleet Commander's written restriction or service direction.</w:t>
      </w:r>
    </w:p>
    <w:p>
      <w:pPr>
        <w:pStyle w:val="ListBullet"/>
        <w:widowControl/>
        <w:numPr>
          <w:ilvl w:val="0"/>
          <w:numId w:val="1"/>
        </w:numPr>
        <w:rPr/>
      </w:pPr>
      <w:r>
        <w:rPr>
          <w:rFonts w:eastAsia="Mendl Sans Dusk Regular" w:cs="Mendl Sans Dusk Regular"/>
        </w:rPr>
        <w:t>The operator may not clear a maintenance hold or return an asset to service.</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EOM-11.0 Outsourced service</w:t>
      </w:r>
    </w:p>
    <w:p>
      <w:pPr>
        <w:pStyle w:val="Normal"/>
        <w:widowControl/>
        <w:rPr/>
      </w:pPr>
      <w:r>
        <w:rPr>
          <w:rFonts w:eastAsia="Mendl Sans Dusk Regular" w:cs="Mendl Sans Dusk Regular"/>
        </w:rPr>
        <w:t>Mechanics may be internal or approved external providers. The Fleet Commander issues the work order, provides asset and defect information, collects the provider report and invoice, verifies completed scope, and establishes the next-service trigger.</w:t>
      </w:r>
    </w:p>
    <w:p>
      <w:pPr>
        <w:pStyle w:val="ListBullet"/>
        <w:widowControl/>
        <w:numPr>
          <w:ilvl w:val="0"/>
          <w:numId w:val="1"/>
        </w:numPr>
        <w:rPr/>
      </w:pPr>
      <w:r>
        <w:rPr>
          <w:rFonts w:eastAsia="Mendl Sans Dusk Regular" w:cs="Mendl Sans Dusk Regular"/>
        </w:rPr>
        <w:t>Torque Mobile shop service is planned around every-other-Thursday Superintendent meetings.</w:t>
      </w:r>
    </w:p>
    <w:p>
      <w:pPr>
        <w:pStyle w:val="ListBullet"/>
        <w:widowControl/>
        <w:numPr>
          <w:ilvl w:val="0"/>
          <w:numId w:val="1"/>
        </w:numPr>
        <w:spacing w:before="0" w:after="120"/>
        <w:contextualSpacing/>
        <w:rPr/>
      </w:pPr>
      <w:r>
        <w:rPr>
          <w:rFonts w:eastAsia="Mendl Sans Dusk Regular" w:cs="Mendl Sans Dusk Regular"/>
        </w:rPr>
        <w:t>Valvoline service must be tied to the applicable asset and work order.</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63E7874-2CAC-4105-9050-831B4C70A195}"/>
</file>

<file path=customXml/itemProps2.xml><?xml version="1.0" encoding="utf-8"?>
<ds:datastoreItem xmlns:ds="http://schemas.openxmlformats.org/officeDocument/2006/customXml" ds:itemID="{39D848FE-F314-43D0-B653-C49561382527}"/>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3A74BD7D-A660-4DE9-A280-D792278E4625}"/>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11</Pages>
  <Words>635</Words>
  <Characters>4028</Characters>
  <CharactersWithSpaces>4602</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2026-08-05T19:38:59Z</dcterms:modified>
  <cp:revision>7</cp:revision>
  <dc:subject>MH Ecosystem Version 1.0 Draft</dc:subject>
  <dc:title>MH Equipment Operators Manual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