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MH Federal Motor Carrier Compliance Manual</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SAFETY AND FIELD OPERATIONS</w:t>
              <w:br/>
              <w:t>Document title: MH Federal Motor Carrier Compliance Manual</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Title"/>
        <w:rPr/>
      </w:pPr>
      <w:r>
        <w:rPr/>
        <w:t>Federal Motor Carrier Compliance Manual</w:t>
      </w:r>
    </w:p>
    <w:p>
      <w:pPr>
        <w:pStyle w:val="Subtitle"/>
        <w:rPr/>
      </w:pPr>
      <w:r>
        <w:rPr/>
        <w:t>Version 1.0 | Rough Draft | Effective date pending approval</w:t>
      </w:r>
    </w:p>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Control Role</w:t>
            </w:r>
          </w:p>
        </w:tc>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Assigned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Author / Chief Editor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Matt Ramsey</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Co-Editor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Todd Shoeff</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Final Approver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Jeremy Thamert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Lifecycle</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Draft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Effective Date</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Pending Approval</w:t>
            </w:r>
          </w:p>
        </w:tc>
      </w:tr>
    </w:tbl>
    <w:p>
      <w:pPr>
        <w:pStyle w:val="Heading1"/>
        <w:rPr/>
      </w:pPr>
      <w:r>
        <w:rPr/>
        <w:t>Purpose</w:t>
      </w:r>
    </w:p>
    <w:p>
      <w:pPr>
        <w:pStyle w:val="Normal"/>
        <w:rPr/>
      </w:pPr>
      <w:r>
        <w:rPr/>
        <w:t>Prepare MHC for occasional interstate commercial operations and future federal fleet expansion without authorizing unqualified dispatch.</w:t>
      </w:r>
    </w:p>
    <w:p>
      <w:pPr>
        <w:pStyle w:val="Heading1"/>
        <w:rPr/>
      </w:pPr>
      <w:r>
        <w:rPr/>
        <w:t>1. Command</w:t>
      </w:r>
    </w:p>
    <w:p>
      <w:pPr>
        <w:pStyle w:val="Normal"/>
        <w:rPr/>
      </w:pPr>
      <w:r>
        <w:rPr/>
        <w:t>Fleet Commander owns fleet compliance. Safety Department audits the program. CHENG holds executive accountability for safety. COO directs operations and CEO retains final enterprise authority. The COO acts as Fleet Commander until the position is filled.</w:t>
      </w:r>
      <w:r>
        <w:br w:type="page"/>
      </w:r>
    </w:p>
    <w:p>
      <w:pPr>
        <w:pStyle w:val="Heading1"/>
        <w:keepNext w:val="true"/>
        <w:spacing w:before="0" w:after="160"/>
        <w:rPr/>
      </w:pPr>
      <w:r>
        <w:rPr/>
        <w:t>2. Dispatch gate</w:t>
      </w:r>
    </w:p>
    <w:p>
      <w:pPr>
        <w:pStyle w:val="Normal"/>
        <w:rPr/>
      </w:pPr>
      <w:r>
        <w:rPr/>
        <w:t>No employee may operate a vehicle or combination requiring a CDL without the proper current license, endorsement, medical qualification, authorization, and dashboard status. The Field Command Center calculates applicability from vehicle and trailer ratings, configuration, endorsements, and jurisdiction. Uncertainty creates a Dispatch Hold.</w:t>
      </w:r>
      <w:r>
        <w:br w:type="page"/>
      </w:r>
    </w:p>
    <w:p>
      <w:pPr>
        <w:pStyle w:val="Heading1"/>
        <w:keepNext w:val="true"/>
        <w:spacing w:before="0" w:after="160"/>
        <w:rPr/>
      </w:pPr>
      <w:r>
        <w:rPr/>
        <w:t>3. CDL bench</w:t>
      </w:r>
    </w:p>
    <w:p>
      <w:pPr>
        <w:pStyle w:val="Normal"/>
        <w:rPr/>
      </w:pPr>
      <w:r>
        <w:rPr/>
        <w:t>MHC develops one primary Class A driver and two backups. Fleet Commander is primary, Mechanic is second, and backups may come from Chief Superintendent, Superintendents, Foremen, or qualified employees. Class A and tanker endorsements are required for the designated bench. Hazardous-material transportation is prohibited unless CEO approves a future controlled program.</w:t>
      </w:r>
      <w:r>
        <w:br w:type="page"/>
      </w:r>
    </w:p>
    <w:p>
      <w:pPr>
        <w:pStyle w:val="Heading1"/>
        <w:keepNext w:val="true"/>
        <w:spacing w:before="0" w:after="160"/>
        <w:rPr/>
      </w:pPr>
      <w:r>
        <w:rPr/>
        <w:t>4. Training benefit</w:t>
      </w:r>
    </w:p>
    <w:p>
      <w:pPr>
        <w:pStyle w:val="Normal"/>
        <w:rPr/>
      </w:pPr>
      <w:r>
        <w:rPr/>
        <w:t>Eligibility begins after one year of service unless COO or CEO authorizes an exception. Employee contributes 25 percent and MHC contributes 75 percent. Company-funded amounts are governed by a 12-month declining repayment agreement beginning at CDL issuance, subject to HR and legal approval.</w:t>
      </w:r>
      <w:r>
        <w:br w:type="page"/>
      </w:r>
    </w:p>
    <w:p>
      <w:pPr>
        <w:pStyle w:val="Heading1"/>
        <w:keepNext w:val="true"/>
        <w:spacing w:before="0" w:after="160"/>
        <w:rPr/>
      </w:pPr>
      <w:r>
        <w:rPr/>
        <w:t>5. Contingency</w:t>
      </w:r>
    </w:p>
    <w:p>
      <w:pPr>
        <w:pStyle w:val="Normal"/>
        <w:rPr/>
      </w:pPr>
      <w:r>
        <w:rPr/>
        <w:t>Use compliant below-CDL-threshold rentals when capacity permits. CDL-required movements use a qualified third-party carrier until MHC has qualified drivers. Evaluate Anchor Hauling, Prime Towing, and Joel Martinez Trucking; maintain two approved carriers and one alternate after verification of authority, insurance, equipment, drivers, permits, and securement capability.</w:t>
      </w:r>
      <w:r>
        <w:br w:type="page"/>
      </w:r>
    </w:p>
    <w:p>
      <w:pPr>
        <w:pStyle w:val="Heading1"/>
        <w:keepNext w:val="true"/>
        <w:spacing w:before="0" w:after="160"/>
        <w:rPr/>
      </w:pPr>
      <w:r>
        <w:rPr/>
        <w:t>6. Interstate control</w:t>
      </w:r>
    </w:p>
    <w:p>
      <w:pPr>
        <w:pStyle w:val="Normal"/>
        <w:widowControl/>
        <w:bidi w:val="0"/>
        <w:spacing w:lineRule="auto" w:line="288" w:before="0" w:after="120"/>
        <w:jc w:val="start"/>
        <w:rPr/>
      </w:pPr>
      <w:r>
        <w:rPr/>
        <w:t>Every Oregon or other interstate movement receives a jurisdiction review before dispatch. Driver qualification, medical, annual inspection, maintenance, hours-of-service, accident, drug-and-alcohol, Clearinghouse, and roadside records are maintained when applicable. Sensitive records are restricted; public status shows only Qualified and Current or Not Current.</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7</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1.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image" Target="media/image1.png"/><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settings" Target="settings.xml"/><Relationship Id="rId5" Type="http://schemas.openxmlformats.org/officeDocument/2006/relationships/header" Target="header3.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header" Target="header2.xml"/><Relationship Id="rId9" Type="http://schemas.openxmlformats.org/officeDocument/2006/relationships/numbering" Target="numbering.xml"/><Relationship Id="rId14"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9C4A293-01BE-442B-B204-76DF2A4B599D}"/>
</file>

<file path=customXml/itemProps3.xml><?xml version="1.0" encoding="utf-8"?>
<ds:datastoreItem xmlns:ds="http://schemas.openxmlformats.org/officeDocument/2006/customXml" ds:itemID="{5B8FBC86-2E0F-45E8-BF63-96D75FECBD5C}"/>
</file>

<file path=customXml/itemProps4.xml><?xml version="1.0" encoding="utf-8"?>
<ds:datastoreItem xmlns:ds="http://schemas.openxmlformats.org/officeDocument/2006/customXml" ds:itemID="{3214DC1E-4492-4F03-9AE5-A01C70024F4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7</Pages>
  <Words>424</Words>
  <Characters>2694</Characters>
  <CharactersWithSpaces>3081</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 Federal Motor Carrier Compliance Manual</dc:title>
  <dc:subject>MH Ecosystem Version 1.0 Draft</dc:subject>
  <dc:creator>Matt Ramsey</dc:creator>
  <dc:description>Controlled Rough Draft. Not approved for operational use.</dc:description>
  <cp:lastModifiedBy/>
  <cp:revision>7</cp:revision>
  <dcterms:created xsi:type="dcterms:W3CDTF">2013-12-23T23:15:00Z</dcterms:created>
  <dcterms:modified xsi:type="dcterms:W3CDTF">2026-08-05T19:39:00Z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