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SUB-F-05.1 | Subcontractor Performance Eval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SUB-F-05.1 | Subcontractor Performance Eval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SUB-F-05.1: SUBCONTRACTOR PERFORMANCE EVALUATION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Completed By: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Role:</w:t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Rating (1-5)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EFA305-8143-4A5C-A67F-7DA69DC44310}"/>
</file>

<file path=customXml/itemProps3.xml><?xml version="1.0" encoding="utf-8"?>
<ds:datastoreItem xmlns:ds="http://schemas.openxmlformats.org/officeDocument/2006/customXml" ds:itemID="{37275D5B-3E0C-437B-A1D1-48AEC1FE5102}"/>
</file>

<file path=customXml/itemProps4.xml><?xml version="1.0" encoding="utf-8"?>
<ds:datastoreItem xmlns:ds="http://schemas.openxmlformats.org/officeDocument/2006/customXml" ds:itemID="{B000CC1D-AE5E-4C71-80C2-C77B38A012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188</Words>
  <Characters>1073</Characters>
  <CharactersWithSpaces>1239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SUB-F-05.1 | Subcontractor Performance Eval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2026-08-05T19:39:44Z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