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mh-construction-marketing-strategy-guide"/>
    <w:p>
      <w:pPr>
        <w:pStyle w:val="Heading1"/>
      </w:pPr>
      <w:r>
        <w:t xml:space="preserve">MH Construction Marketing Strategy Guide</w:t>
      </w:r>
    </w:p>
    <w:bookmarkStart w:id="20" w:name="marketing-operations-system"/>
    <w:p>
      <w:pPr>
        <w:pStyle w:val="Heading2"/>
      </w:pPr>
      <w:r>
        <w:t xml:space="preserve">Marketing Operations System</w:t>
      </w:r>
    </w:p>
    <w:p>
      <w:pPr>
        <w:pStyle w:val="FirstParagraph"/>
      </w:pPr>
      <w:r>
        <w:rPr>
          <w:bCs/>
          <w:b/>
        </w:rPr>
        <w:t xml:space="preserve">Revision:</w:t>
      </w:r>
      <w:r>
        <w:t xml:space="preserve"> </w:t>
      </w:r>
      <w:r>
        <w:t xml:space="preserve">1.1 |</w:t>
      </w:r>
      <w:r>
        <w:t xml:space="preserve"> </w:t>
      </w:r>
      <w:r>
        <w:rPr>
          <w:bCs/>
          <w:b/>
        </w:rPr>
        <w:t xml:space="preserve">Effective Date:</w:t>
      </w:r>
      <w:r>
        <w:t xml:space="preserve"> </w:t>
      </w:r>
      <w:r>
        <w:t xml:space="preserve">July 2026</w:t>
      </w:r>
    </w:p>
    <w:p>
      <w:r>
        <w:pict>
          <v:rect style="width:0;height:1.5pt" o:hralign="center" o:hrstd="t" o:hr="t"/>
        </w:pict>
      </w:r>
    </w:p>
    <w:bookmarkEnd w:id="20"/>
    <w:bookmarkStart w:id="21" w:name="msg-01-core-doctrine-values"/>
    <w:p>
      <w:pPr>
        <w:pStyle w:val="Heading2"/>
      </w:pPr>
      <w:r>
        <w:t xml:space="preserve">MSG 01 | Core Doctrine &amp; Values</w:t>
      </w:r>
    </w:p>
    <w:p>
      <w:pPr>
        <w:pStyle w:val="FirstParagraph"/>
      </w:pPr>
      <w:r>
        <w:t xml:space="preserve">The MH Construction Marketing Division operates under the authority of CHENG (Matt Ramsey). While the Sales Division (under CHNAV) is responsible for preconstruction estimating, the Marketing Division assumes lead responsibility for the public narrative upon contract execution and coordinates long-term relationship communications with Sales and Operations.</w:t>
      </w:r>
    </w:p>
    <w:p>
      <w:pPr>
        <w:pStyle w:val="BodyText"/>
      </w:pPr>
      <w:r>
        <w:t xml:space="preserve">Marketing at MHC is not just posting photos; it is a Marketing Operations System designed to generate leads, build relationships, and drive community involvement. Our marketing is based on Verified Performance and documenting the reality of the Operational Theater.</w:t>
      </w:r>
    </w:p>
    <w:p>
      <w:pPr>
        <w:numPr>
          <w:ilvl w:val="0"/>
          <w:numId w:val="1001"/>
        </w:numPr>
        <w:pStyle w:val="Compact"/>
      </w:pPr>
      <w:r>
        <w:rPr>
          <w:bCs/>
          <w:b/>
        </w:rPr>
        <w:t xml:space="preserve">Integrity:</w:t>
      </w:r>
      <w:r>
        <w:t xml:space="preserve"> </w:t>
      </w:r>
      <w:r>
        <w:t xml:space="preserve">We show the Ground Truth.</w:t>
      </w:r>
    </w:p>
    <w:p>
      <w:pPr>
        <w:numPr>
          <w:ilvl w:val="0"/>
          <w:numId w:val="1001"/>
        </w:numPr>
        <w:pStyle w:val="Compact"/>
      </w:pPr>
      <w:r>
        <w:rPr>
          <w:bCs/>
          <w:b/>
        </w:rPr>
        <w:t xml:space="preserve">Honesty:</w:t>
      </w:r>
      <w:r>
        <w:t xml:space="preserve"> </w:t>
      </w:r>
      <w:r>
        <w:t xml:space="preserve">We do not manipulate project outcomes.</w:t>
      </w:r>
    </w:p>
    <w:p>
      <w:pPr>
        <w:numPr>
          <w:ilvl w:val="0"/>
          <w:numId w:val="1001"/>
        </w:numPr>
        <w:pStyle w:val="Compact"/>
      </w:pPr>
      <w:r>
        <w:rPr>
          <w:bCs/>
          <w:b/>
        </w:rPr>
        <w:t xml:space="preserve">Professionalism:</w:t>
      </w:r>
      <w:r>
        <w:t xml:space="preserve"> </w:t>
      </w:r>
      <w:r>
        <w:t xml:space="preserve">We elevate the perception of the Task Operator.</w:t>
      </w:r>
    </w:p>
    <w:p>
      <w:pPr>
        <w:numPr>
          <w:ilvl w:val="0"/>
          <w:numId w:val="1001"/>
        </w:numPr>
        <w:pStyle w:val="Compact"/>
      </w:pPr>
      <w:r>
        <w:rPr>
          <w:bCs/>
          <w:b/>
        </w:rPr>
        <w:t xml:space="preserve">Thoroughness:</w:t>
      </w:r>
      <w:r>
        <w:t xml:space="preserve"> </w:t>
      </w:r>
      <w:r>
        <w:t xml:space="preserve">We capture every phase from Deployment to Mission Accomplished.</w:t>
      </w:r>
    </w:p>
    <w:p>
      <w:pPr>
        <w:pStyle w:val="FirstParagraph"/>
      </w:pPr>
      <w:r>
        <w:rPr>
          <w:bCs/>
          <w:b/>
        </w:rPr>
        <w:t xml:space="preserve">Brand Tagline:</w:t>
      </w:r>
      <w:r>
        <w:t xml:space="preserve"> </w:t>
      </w:r>
      <w:r>
        <w:t xml:space="preserve">“</w:t>
      </w:r>
      <w:r>
        <w:t xml:space="preserve">Built on Quality, Backed by Trust.</w:t>
      </w:r>
      <w:r>
        <w:t xml:space="preserve">”</w:t>
      </w:r>
      <w:r>
        <w:t xml:space="preserve"> </w:t>
      </w:r>
      <w:r>
        <w:rPr>
          <w:bCs/>
          <w:b/>
        </w:rPr>
        <w:t xml:space="preserve">Visual Standards:</w:t>
      </w:r>
      <w:r>
        <w:t xml:space="preserve"> </w:t>
      </w:r>
      <w:r>
        <w:t xml:space="preserve">Hunter Green (#386851) and Leather Tan (#BD9264). No full-page color backgrounds on printed materials.</w:t>
      </w:r>
    </w:p>
    <w:p>
      <w:r>
        <w:pict>
          <v:rect style="width:0;height:1.5pt" o:hralign="center" o:hrstd="t" o:hr="t"/>
        </w:pict>
      </w:r>
    </w:p>
    <w:bookmarkEnd w:id="21"/>
    <w:bookmarkStart w:id="24" w:name="msg-02-the-marketing-operations-stack"/>
    <w:p>
      <w:pPr>
        <w:pStyle w:val="Heading2"/>
      </w:pPr>
      <w:r>
        <w:t xml:space="preserve">MSG 02 | The Marketing Operations Stack</w:t>
      </w:r>
    </w:p>
    <w:p>
      <w:pPr>
        <w:pStyle w:val="FirstParagraph"/>
      </w:pPr>
      <w:r>
        <w:t xml:space="preserve">MHC utilizes a multi-channel media distribution stack to ensure maximum visibility and lead capture.</w:t>
      </w:r>
    </w:p>
    <w:bookmarkStart w:id="22" w:name="the-distribution-channels"/>
    <w:p>
      <w:pPr>
        <w:pStyle w:val="Heading3"/>
      </w:pPr>
      <w:r>
        <w:t xml:space="preserve">The Distribution Channels</w:t>
      </w:r>
    </w:p>
    <w:p>
      <w:pPr>
        <w:numPr>
          <w:ilvl w:val="0"/>
          <w:numId w:val="1002"/>
        </w:numPr>
        <w:pStyle w:val="Compact"/>
      </w:pPr>
      <w:r>
        <w:rPr>
          <w:bCs/>
          <w:b/>
        </w:rPr>
        <w:t xml:space="preserve">Radio Ads &amp; Commercials:</w:t>
      </w:r>
      <w:r>
        <w:t xml:space="preserve"> </w:t>
      </w:r>
      <w:r>
        <w:t xml:space="preserve">High-level brand awareness and lead capture (e.g., via Stephens Media).</w:t>
      </w:r>
    </w:p>
    <w:p>
      <w:pPr>
        <w:numPr>
          <w:ilvl w:val="0"/>
          <w:numId w:val="1002"/>
        </w:numPr>
        <w:pStyle w:val="Compact"/>
      </w:pPr>
      <w:r>
        <w:rPr>
          <w:bCs/>
          <w:b/>
        </w:rPr>
        <w:t xml:space="preserve">YouTube:</w:t>
      </w:r>
      <w:r>
        <w:t xml:space="preserve"> </w:t>
      </w:r>
      <w:r>
        <w:t xml:space="preserve">Home for long-form video content, including the Official Command Center Walk Through.</w:t>
      </w:r>
    </w:p>
    <w:p>
      <w:pPr>
        <w:numPr>
          <w:ilvl w:val="0"/>
          <w:numId w:val="1002"/>
        </w:numPr>
        <w:pStyle w:val="Compact"/>
      </w:pPr>
      <w:r>
        <w:rPr>
          <w:bCs/>
          <w:b/>
        </w:rPr>
        <w:t xml:space="preserve">Website Power:</w:t>
      </w:r>
      <w:r>
        <w:t xml:space="preserve"> </w:t>
      </w:r>
      <w:r>
        <w:t xml:space="preserve">The central hub for Digital Twins, Spatial Capture data, and SEO visibility.</w:t>
      </w:r>
    </w:p>
    <w:p>
      <w:pPr>
        <w:numPr>
          <w:ilvl w:val="0"/>
          <w:numId w:val="1002"/>
        </w:numPr>
        <w:pStyle w:val="Compact"/>
      </w:pPr>
      <w:r>
        <w:rPr>
          <w:bCs/>
          <w:b/>
        </w:rPr>
        <w:t xml:space="preserve">LinkedIn:</w:t>
      </w:r>
      <w:r>
        <w:t xml:space="preserve"> </w:t>
      </w:r>
      <w:r>
        <w:t xml:space="preserve">B2B authority channel targeting architects, municipal leaders, and commercial Client Partners.</w:t>
      </w:r>
    </w:p>
    <w:p>
      <w:pPr>
        <w:numPr>
          <w:ilvl w:val="0"/>
          <w:numId w:val="1002"/>
        </w:numPr>
        <w:pStyle w:val="Compact"/>
      </w:pPr>
      <w:r>
        <w:rPr>
          <w:bCs/>
          <w:b/>
        </w:rPr>
        <w:t xml:space="preserve">Facebook:</w:t>
      </w:r>
      <w:r>
        <w:t xml:space="preserve"> </w:t>
      </w:r>
      <w:r>
        <w:t xml:space="preserve">Community and culture channel focusing on Trade Partner (Sub-Operator) recognition and local ties.</w:t>
      </w:r>
    </w:p>
    <w:p>
      <w:pPr>
        <w:numPr>
          <w:ilvl w:val="0"/>
          <w:numId w:val="1002"/>
        </w:numPr>
        <w:pStyle w:val="Compact"/>
      </w:pPr>
      <w:r>
        <w:rPr>
          <w:bCs/>
          <w:b/>
        </w:rPr>
        <w:t xml:space="preserve">Instagram / X:</w:t>
      </w:r>
      <w:r>
        <w:t xml:space="preserve"> </w:t>
      </w:r>
      <w:r>
        <w:t xml:space="preserve">Visual proof channels for high-quality Operational Theater imagery.</w:t>
      </w:r>
    </w:p>
    <w:p>
      <w:pPr>
        <w:numPr>
          <w:ilvl w:val="0"/>
          <w:numId w:val="1002"/>
        </w:numPr>
        <w:pStyle w:val="Compact"/>
      </w:pPr>
      <w:r>
        <w:rPr>
          <w:bCs/>
          <w:b/>
        </w:rPr>
        <w:t xml:space="preserve">Email Blasts:</w:t>
      </w:r>
      <w:r>
        <w:t xml:space="preserve"> </w:t>
      </w:r>
      <w:r>
        <w:t xml:space="preserve">Direct communication with the stakeholder network.</w:t>
      </w:r>
    </w:p>
    <w:bookmarkEnd w:id="22"/>
    <w:bookmarkStart w:id="23" w:name="media-capture-file-governance"/>
    <w:p>
      <w:pPr>
        <w:pStyle w:val="Heading3"/>
      </w:pPr>
      <w:r>
        <w:t xml:space="preserve">Media Capture &amp; File Governance</w:t>
      </w:r>
    </w:p>
    <w:p>
      <w:pPr>
        <w:pStyle w:val="FirstParagraph"/>
      </w:pPr>
      <w:r>
        <w:t xml:space="preserve">To maintain a professional digital footprint, all media captured in the Operational Theater must follow strict governance:</w:t>
      </w:r>
    </w:p>
    <w:p>
      <w:pPr>
        <w:numPr>
          <w:ilvl w:val="0"/>
          <w:numId w:val="1003"/>
        </w:numPr>
        <w:pStyle w:val="Compact"/>
      </w:pPr>
      <w:r>
        <w:rPr>
          <w:bCs/>
          <w:b/>
        </w:rPr>
        <w:t xml:space="preserve">File Naming:</w:t>
      </w:r>
      <w:r>
        <w:t xml:space="preserve"> </w:t>
      </w:r>
      <w:r>
        <w:rPr>
          <w:rStyle w:val="VerbatimChar"/>
        </w:rPr>
        <w:t xml:space="preserve">[Project-Name]-[exterior/interior]-[timestamp/number].png</w:t>
      </w:r>
      <w:r>
        <w:t xml:space="preserve"> </w:t>
      </w:r>
      <w:r>
        <w:t xml:space="preserve">(e.g.,</w:t>
      </w:r>
      <w:r>
        <w:t xml:space="preserve"> </w:t>
      </w:r>
      <w:r>
        <w:rPr>
          <w:rStyle w:val="VerbatimChar"/>
        </w:rPr>
        <w:t xml:space="preserve">Zillah-Fire-interior-01.png</w:t>
      </w:r>
      <w:r>
        <w:t xml:space="preserve">). Always use hyphens, never underscores.</w:t>
      </w:r>
    </w:p>
    <w:p>
      <w:pPr>
        <w:numPr>
          <w:ilvl w:val="0"/>
          <w:numId w:val="1003"/>
        </w:numPr>
        <w:pStyle w:val="Compact"/>
      </w:pPr>
      <w:r>
        <w:rPr>
          <w:bCs/>
          <w:b/>
        </w:rPr>
        <w:t xml:space="preserve">Format:</w:t>
      </w:r>
      <w:r>
        <w:t xml:space="preserve"> </w:t>
      </w:r>
      <w:r>
        <w:t xml:space="preserve">All images must be converted to PNG. Videos retain their original format but must follow the naming convention.</w:t>
      </w:r>
    </w:p>
    <w:p>
      <w:pPr>
        <w:numPr>
          <w:ilvl w:val="0"/>
          <w:numId w:val="1003"/>
        </w:numPr>
        <w:pStyle w:val="Compact"/>
      </w:pPr>
      <w:r>
        <w:rPr>
          <w:bCs/>
          <w:b/>
        </w:rPr>
        <w:t xml:space="preserve">Storage:</w:t>
      </w:r>
      <w:r>
        <w:t xml:space="preserve"> </w:t>
      </w:r>
      <w:r>
        <w:t xml:space="preserve">Individual project folders must be used to prevent bottlenecks.</w:t>
      </w:r>
    </w:p>
    <w:p>
      <w:pPr>
        <w:numPr>
          <w:ilvl w:val="0"/>
          <w:numId w:val="1003"/>
        </w:numPr>
        <w:pStyle w:val="Compact"/>
      </w:pPr>
      <w:r>
        <w:rPr>
          <w:bCs/>
          <w:b/>
        </w:rPr>
        <w:t xml:space="preserve">Production Equipment:</w:t>
      </w:r>
      <w:r>
        <w:t xml:space="preserve"> </w:t>
      </w:r>
      <w:r>
        <w:t xml:space="preserve">Marketing maintains strict procedures for incoming video/photo folders, camera deployment, green screen usage, and PC battery management.</w:t>
      </w:r>
    </w:p>
    <w:p>
      <w:r>
        <w:pict>
          <v:rect style="width:0;height:1.5pt" o:hralign="center" o:hrstd="t" o:hr="t"/>
        </w:pict>
      </w:r>
    </w:p>
    <w:bookmarkEnd w:id="23"/>
    <w:bookmarkEnd w:id="24"/>
    <w:bookmarkStart w:id="28" w:name="msg-03-the-three-content-pillars"/>
    <w:p>
      <w:pPr>
        <w:pStyle w:val="Heading2"/>
      </w:pPr>
      <w:r>
        <w:t xml:space="preserve">MSG 03 | The Three Content Pillars</w:t>
      </w:r>
    </w:p>
    <w:p>
      <w:pPr>
        <w:pStyle w:val="FirstParagraph"/>
      </w:pPr>
      <w:r>
        <w:t xml:space="preserve">Every piece of marketing collateral must align with one of three pillars.</w:t>
      </w:r>
    </w:p>
    <w:bookmarkStart w:id="25" w:name="X28825fccd49cf4c955f53b6b7527f4e660f7e65"/>
    <w:p>
      <w:pPr>
        <w:pStyle w:val="Heading3"/>
      </w:pPr>
      <w:r>
        <w:t xml:space="preserve">Pillar 1: Service-Earned Discipline (The People)</w:t>
      </w:r>
    </w:p>
    <w:p>
      <w:pPr>
        <w:pStyle w:val="FirstParagraph"/>
      </w:pPr>
      <w:r>
        <w:t xml:space="preserve">Focuses on Jeremy Thamert’s military background, the discipline of the field teams, and the</w:t>
      </w:r>
      <w:r>
        <w:t xml:space="preserve"> </w:t>
      </w:r>
      <w:r>
        <w:t xml:space="preserve">“</w:t>
      </w:r>
      <w:r>
        <w:t xml:space="preserve">Got Your Six</w:t>
      </w:r>
      <w:r>
        <w:t xml:space="preserve">”</w:t>
      </w:r>
      <w:r>
        <w:t xml:space="preserve"> </w:t>
      </w:r>
      <w:r>
        <w:t xml:space="preserve">mentality. We elevate the status of the worker by referring to them as Task Operators and Field Safety Leads.</w:t>
      </w:r>
    </w:p>
    <w:bookmarkEnd w:id="25"/>
    <w:bookmarkStart w:id="26" w:name="X90fb2345674c253f84b9e6377df37b4c9bd95ec"/>
    <w:p>
      <w:pPr>
        <w:pStyle w:val="Heading3"/>
      </w:pPr>
      <w:r>
        <w:t xml:space="preserve">Pillar 2: Force Multiplier (The Technology &amp; Integration)</w:t>
      </w:r>
    </w:p>
    <w:p>
      <w:pPr>
        <w:pStyle w:val="FirstParagraph"/>
      </w:pPr>
      <w:r>
        <w:t xml:space="preserve">Proves our technical capability and operational efficiency. Content here focuses on:</w:t>
      </w:r>
      <w:r>
        <w:t xml:space="preserve"> </w:t>
      </w:r>
      <w:r>
        <w:t xml:space="preserve">-</w:t>
      </w:r>
      <w:r>
        <w:t xml:space="preserve"> </w:t>
      </w:r>
      <w:r>
        <w:rPr>
          <w:bCs/>
          <w:b/>
        </w:rPr>
        <w:t xml:space="preserve">Gaussian Splatting &amp; Spatial Capture:</w:t>
      </w:r>
      <w:r>
        <w:t xml:space="preserve"> </w:t>
      </w:r>
      <w:r>
        <w:t xml:space="preserve">Advanced 3D site documentation.</w:t>
      </w:r>
      <w:r>
        <w:t xml:space="preserve"> </w:t>
      </w:r>
      <w:r>
        <w:t xml:space="preserve">-</w:t>
      </w:r>
      <w:r>
        <w:t xml:space="preserve"> </w:t>
      </w:r>
      <w:r>
        <w:rPr>
          <w:bCs/>
          <w:b/>
        </w:rPr>
        <w:t xml:space="preserve">Vertical Integration:</w:t>
      </w:r>
      <w:r>
        <w:t xml:space="preserve"> </w:t>
      </w:r>
      <w:r>
        <w:t xml:space="preserve">Highlighting MHC’s transition from simply self-performing to a more vertically integrated delivery model.</w:t>
      </w:r>
      <w:r>
        <w:t xml:space="preserve"> </w:t>
      </w:r>
      <w:r>
        <w:t xml:space="preserve">-</w:t>
      </w:r>
      <w:r>
        <w:t xml:space="preserve"> </w:t>
      </w:r>
      <w:r>
        <w:rPr>
          <w:bCs/>
          <w:b/>
        </w:rPr>
        <w:t xml:space="preserve">Procore:</w:t>
      </w:r>
      <w:r>
        <w:t xml:space="preserve"> </w:t>
      </w:r>
      <w:r>
        <w:t xml:space="preserve">Maintaining Operational Tempo.</w:t>
      </w:r>
    </w:p>
    <w:bookmarkEnd w:id="26"/>
    <w:bookmarkStart w:id="27" w:name="X9c5bba54cc359dbea99a483aa2e4186dd82e08f"/>
    <w:p>
      <w:pPr>
        <w:pStyle w:val="Heading3"/>
      </w:pPr>
      <w:r>
        <w:t xml:space="preserve">Pillar 3: Handshake Pride (The Relationships)</w:t>
      </w:r>
    </w:p>
    <w:p>
      <w:pPr>
        <w:pStyle w:val="FirstParagraph"/>
      </w:pPr>
      <w:r>
        <w:t xml:space="preserve">Focuses on the stakeholder network. Marketing actively manages relationships with:</w:t>
      </w:r>
      <w:r>
        <w:t xml:space="preserve"> </w:t>
      </w:r>
      <w:r>
        <w:t xml:space="preserve">- Vendors and Trade Partners (Sub-Operators)</w:t>
      </w:r>
      <w:r>
        <w:t xml:space="preserve"> </w:t>
      </w:r>
      <w:r>
        <w:t xml:space="preserve">- Architects and City Officials</w:t>
      </w:r>
      <w:r>
        <w:t xml:space="preserve"> </w:t>
      </w:r>
      <w:r>
        <w:t xml:space="preserve">- Client Partners and Veterans</w:t>
      </w:r>
      <w:r>
        <w:t xml:space="preserve"> </w:t>
      </w:r>
      <w:r>
        <w:t xml:space="preserve">- Chamber of Commerce (Groundbreakings and Ribbon Cuttings)</w:t>
      </w:r>
    </w:p>
    <w:p>
      <w:r>
        <w:pict>
          <v:rect style="width:0;height:1.5pt" o:hralign="center" o:hrstd="t" o:hr="t"/>
        </w:pict>
      </w:r>
    </w:p>
    <w:bookmarkEnd w:id="27"/>
    <w:bookmarkEnd w:id="28"/>
    <w:bookmarkStart w:id="33" w:name="X1502f8f1ad3d6a50375bd75656e3730177204ab"/>
    <w:p>
      <w:pPr>
        <w:pStyle w:val="Heading2"/>
      </w:pPr>
      <w:r>
        <w:t xml:space="preserve">MSG 04 | The Four-Phase Project Lifecycle Campaign</w:t>
      </w:r>
    </w:p>
    <w:p>
      <w:pPr>
        <w:pStyle w:val="FirstParagraph"/>
      </w:pPr>
      <w:r>
        <w:t xml:space="preserve">The MHC marketing lifecycle mirrors the construction timeline but extends far beyond the final punch list to maximize the Client Partner relationship.</w:t>
      </w:r>
    </w:p>
    <w:bookmarkStart w:id="29" w:name="phase-i-deployment-execution"/>
    <w:p>
      <w:pPr>
        <w:pStyle w:val="Heading3"/>
      </w:pPr>
      <w:r>
        <w:t xml:space="preserve">Phase I: Deployment &amp; Execution</w:t>
      </w:r>
    </w:p>
    <w:p>
      <w:pPr>
        <w:pStyle w:val="FirstParagraph"/>
      </w:pPr>
      <w:r>
        <w:rPr>
          <w:bCs/>
          <w:b/>
        </w:rPr>
        <w:t xml:space="preserve">Focus:</w:t>
      </w:r>
      <w:r>
        <w:t xml:space="preserve"> </w:t>
      </w:r>
      <w:r>
        <w:t xml:space="preserve">Determine schedule and begin social media presence.</w:t>
      </w:r>
      <w:r>
        <w:t xml:space="preserve"> </w:t>
      </w:r>
      <w:r>
        <w:t xml:space="preserve">-</w:t>
      </w:r>
      <w:r>
        <w:t xml:space="preserve"> </w:t>
      </w:r>
      <w:r>
        <w:rPr>
          <w:bCs/>
          <w:b/>
        </w:rPr>
        <w:t xml:space="preserve">Action:</w:t>
      </w:r>
      <w:r>
        <w:t xml:space="preserve"> </w:t>
      </w:r>
      <w:r>
        <w:t xml:space="preserve">Begin posting on socials at a cadence of 1x per month.</w:t>
      </w:r>
      <w:r>
        <w:t xml:space="preserve"> </w:t>
      </w:r>
      <w:r>
        <w:t xml:space="preserve">-</w:t>
      </w:r>
      <w:r>
        <w:t xml:space="preserve"> </w:t>
      </w:r>
      <w:r>
        <w:rPr>
          <w:bCs/>
          <w:b/>
        </w:rPr>
        <w:t xml:space="preserve">Rule:</w:t>
      </w:r>
      <w:r>
        <w:t xml:space="preserve"> </w:t>
      </w:r>
      <w:r>
        <w:t xml:space="preserve">“</w:t>
      </w:r>
      <w:r>
        <w:t xml:space="preserve">Breakground, not the schedule.</w:t>
      </w:r>
      <w:r>
        <w:t xml:space="preserve">”</w:t>
      </w:r>
      <w:r>
        <w:t xml:space="preserve"> </w:t>
      </w:r>
      <w:r>
        <w:t xml:space="preserve">Focus on the reality of the dirt moving.</w:t>
      </w:r>
      <w:r>
        <w:t xml:space="preserve"> </w:t>
      </w:r>
      <w:r>
        <w:t xml:space="preserve">-</w:t>
      </w:r>
      <w:r>
        <w:t xml:space="preserve"> </w:t>
      </w:r>
      <w:r>
        <w:rPr>
          <w:bCs/>
          <w:b/>
        </w:rPr>
        <w:t xml:space="preserve">Guardrail:</w:t>
      </w:r>
      <w:r>
        <w:t xml:space="preserve"> </w:t>
      </w:r>
      <w:r>
        <w:t xml:space="preserve">CHENG must review all field photos to ensure strict adherence to Protective Posture (PPE) and MISH Program safety standards.</w:t>
      </w:r>
    </w:p>
    <w:bookmarkEnd w:id="29"/>
    <w:bookmarkStart w:id="30" w:name="phase-ii-active-project-increased-tempo"/>
    <w:p>
      <w:pPr>
        <w:pStyle w:val="Heading3"/>
      </w:pPr>
      <w:r>
        <w:t xml:space="preserve">Phase II: Active Project &amp; Increased Tempo</w:t>
      </w:r>
    </w:p>
    <w:p>
      <w:pPr>
        <w:pStyle w:val="FirstParagraph"/>
      </w:pPr>
      <w:r>
        <w:rPr>
          <w:bCs/>
          <w:b/>
        </w:rPr>
        <w:t xml:space="preserve">Focus:</w:t>
      </w:r>
      <w:r>
        <w:t xml:space="preserve"> </w:t>
      </w:r>
      <w:r>
        <w:t xml:space="preserve">Enhanced exposure during peak construction (Framing, Siding, Drywall).</w:t>
      </w:r>
      <w:r>
        <w:t xml:space="preserve"> </w:t>
      </w:r>
      <w:r>
        <w:t xml:space="preserve">-</w:t>
      </w:r>
      <w:r>
        <w:t xml:space="preserve"> </w:t>
      </w:r>
      <w:r>
        <w:rPr>
          <w:bCs/>
          <w:b/>
        </w:rPr>
        <w:t xml:space="preserve">Action:</w:t>
      </w:r>
      <w:r>
        <w:t xml:space="preserve"> </w:t>
      </w:r>
      <w:r>
        <w:t xml:space="preserve">Increase posting cadence to 2x per month.</w:t>
      </w:r>
      <w:r>
        <w:t xml:space="preserve"> </w:t>
      </w:r>
      <w:r>
        <w:t xml:space="preserve">-</w:t>
      </w:r>
      <w:r>
        <w:t xml:space="preserve"> </w:t>
      </w:r>
      <w:r>
        <w:rPr>
          <w:bCs/>
          <w:b/>
        </w:rPr>
        <w:t xml:space="preserve">Deliverables:</w:t>
      </w:r>
      <w:r>
        <w:t xml:space="preserve"> </w:t>
      </w:r>
      <w:r>
        <w:t xml:space="preserve">Mid-project updates, Trade Partner spotlights, and lead capture initiatives.</w:t>
      </w:r>
      <w:r>
        <w:t xml:space="preserve"> </w:t>
      </w:r>
      <w:r>
        <w:t xml:space="preserve">-</w:t>
      </w:r>
      <w:r>
        <w:t xml:space="preserve"> </w:t>
      </w:r>
      <w:r>
        <w:rPr>
          <w:bCs/>
          <w:b/>
        </w:rPr>
        <w:t xml:space="preserve">Rule:</w:t>
      </w:r>
      <w:r>
        <w:t xml:space="preserve"> </w:t>
      </w:r>
      <w:r>
        <w:t xml:space="preserve">“</w:t>
      </w:r>
      <w:r>
        <w:t xml:space="preserve">Cut the ribbon, not the cord.</w:t>
      </w:r>
      <w:r>
        <w:t xml:space="preserve">”</w:t>
      </w:r>
      <w:r>
        <w:t xml:space="preserve"> </w:t>
      </w:r>
      <w:r>
        <w:t xml:space="preserve">The ribbon cutting is a milestone, not the end of the relationship.</w:t>
      </w:r>
    </w:p>
    <w:bookmarkEnd w:id="30"/>
    <w:bookmarkStart w:id="31" w:name="phase-iii-closing-handoff"/>
    <w:p>
      <w:pPr>
        <w:pStyle w:val="Heading3"/>
      </w:pPr>
      <w:r>
        <w:t xml:space="preserve">Phase III: Closing &amp; Handoff</w:t>
      </w:r>
    </w:p>
    <w:p>
      <w:pPr>
        <w:pStyle w:val="FirstParagraph"/>
      </w:pPr>
      <w:r>
        <w:rPr>
          <w:bCs/>
          <w:b/>
        </w:rPr>
        <w:t xml:space="preserve">Focus:</w:t>
      </w:r>
      <w:r>
        <w:t xml:space="preserve"> </w:t>
      </w:r>
      <w:r>
        <w:t xml:space="preserve">Website integration, testimonials, and final deliverables.</w:t>
      </w:r>
      <w:r>
        <w:t xml:space="preserve"> </w:t>
      </w:r>
      <w:r>
        <w:t xml:space="preserve">-</w:t>
      </w:r>
      <w:r>
        <w:t xml:space="preserve"> </w:t>
      </w:r>
      <w:r>
        <w:rPr>
          <w:bCs/>
          <w:b/>
        </w:rPr>
        <w:t xml:space="preserve">Action:</w:t>
      </w:r>
      <w:r>
        <w:t xml:space="preserve"> </w:t>
      </w:r>
      <w:r>
        <w:t xml:space="preserve">Posting cadence increases to 1x per week.</w:t>
      </w:r>
      <w:r>
        <w:t xml:space="preserve"> </w:t>
      </w:r>
      <w:r>
        <w:t xml:space="preserve">-</w:t>
      </w:r>
      <w:r>
        <w:t xml:space="preserve"> </w:t>
      </w:r>
      <w:r>
        <w:rPr>
          <w:bCs/>
          <w:b/>
        </w:rPr>
        <w:t xml:space="preserve">Deliverables:</w:t>
      </w:r>
      <w:r>
        <w:t xml:space="preserve"> </w:t>
      </w:r>
      <w:r>
        <w:t xml:space="preserve">- The Official Command Center Walk Through video.</w:t>
      </w:r>
      <w:r>
        <w:t xml:space="preserve"> </w:t>
      </w:r>
      <w:r>
        <w:t xml:space="preserve">- Final As-Built Digital Twin handover.</w:t>
      </w:r>
      <w:r>
        <w:t xml:space="preserve"> </w:t>
      </w:r>
      <w:r>
        <w:t xml:space="preserve">- 50-second looping highlight reel video (starting and ending with the MHC logo).</w:t>
      </w:r>
      <w:r>
        <w:t xml:space="preserve"> </w:t>
      </w:r>
      <w:r>
        <w:t xml:space="preserve">-</w:t>
      </w:r>
      <w:r>
        <w:t xml:space="preserve"> </w:t>
      </w:r>
      <w:r>
        <w:t xml:space="preserve">“</w:t>
      </w:r>
      <w:r>
        <w:t xml:space="preserve">Speak Your Mind</w:t>
      </w:r>
      <w:r>
        <w:t xml:space="preserve">”</w:t>
      </w:r>
      <w:r>
        <w:t xml:space="preserve"> </w:t>
      </w:r>
      <w:r>
        <w:t xml:space="preserve">podcast interviews and Client Partner testimonials.</w:t>
      </w:r>
    </w:p>
    <w:bookmarkEnd w:id="31"/>
    <w:bookmarkStart w:id="32" w:name="phase-iv-follow-up-legacy"/>
    <w:p>
      <w:pPr>
        <w:pStyle w:val="Heading3"/>
      </w:pPr>
      <w:r>
        <w:t xml:space="preserve">Phase IV: Follow-Up &amp; Legacy</w:t>
      </w:r>
    </w:p>
    <w:p>
      <w:pPr>
        <w:pStyle w:val="FirstParagraph"/>
      </w:pPr>
      <w:r>
        <w:rPr>
          <w:bCs/>
          <w:b/>
        </w:rPr>
        <w:t xml:space="preserve">Focus:</w:t>
      </w:r>
      <w:r>
        <w:t xml:space="preserve"> </w:t>
      </w:r>
      <w:r>
        <w:t xml:space="preserve">Post-checkups, feedback, and long-term lead generation.</w:t>
      </w:r>
      <w:r>
        <w:t xml:space="preserve"> </w:t>
      </w:r>
      <w:r>
        <w:t xml:space="preserve">-</w:t>
      </w:r>
      <w:r>
        <w:t xml:space="preserve"> </w:t>
      </w:r>
      <w:r>
        <w:rPr>
          <w:bCs/>
          <w:b/>
        </w:rPr>
        <w:t xml:space="preserve">Action:</w:t>
      </w:r>
      <w:r>
        <w:t xml:space="preserve"> </w:t>
      </w:r>
      <w:r>
        <w:t xml:space="preserve">Transition to Quarterly posts for next year.</w:t>
      </w:r>
      <w:r>
        <w:t xml:space="preserve"> </w:t>
      </w:r>
      <w:r>
        <w:t xml:space="preserve">-</w:t>
      </w:r>
      <w:r>
        <w:t xml:space="preserve"> </w:t>
      </w:r>
      <w:r>
        <w:rPr>
          <w:bCs/>
          <w:b/>
        </w:rPr>
        <w:t xml:space="preserve">Deliverables:</w:t>
      </w:r>
      <w:r>
        <w:t xml:space="preserve"> </w:t>
      </w:r>
      <w:r>
        <w:t xml:space="preserve">Yearly luncheon events, quarterly newsletters, and continuous feedback loops. Leveraging the past to secure the future.</w:t>
      </w:r>
    </w:p>
    <w:p>
      <w:r>
        <w:pict>
          <v:rect style="width:0;height:1.5pt" o:hralign="center" o:hrstd="t" o:hr="t"/>
        </w:pict>
      </w:r>
    </w:p>
    <w:p>
      <w:pPr>
        <w:pStyle w:val="FirstParagraph"/>
      </w:pPr>
      <w:r>
        <w:rPr>
          <w:bCs/>
          <w:b/>
        </w:rPr>
        <w:t xml:space="preserve">Approval:</w:t>
      </w:r>
      <w:r>
        <w:t xml:space="preserve"> </w:t>
      </w:r>
      <w:r>
        <w:t xml:space="preserve">Jeremy Thamert, President and CEO | Matt Ramsey, CHENG</w:t>
      </w:r>
    </w:p>
    <w:bookmarkEnd w:id="32"/>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B3E88EAD-14BF-4613-A419-4C99D9F18230}"/>
</file>

<file path=customXml/itemProps2.xml><?xml version="1.0" encoding="utf-8"?>
<ds:datastoreItem xmlns:ds="http://schemas.openxmlformats.org/officeDocument/2006/customXml" ds:itemID="{5F59F26F-8A9C-4A31-AEAD-D7F054F35DFF}"/>
</file>

<file path=customXml/itemProps3.xml><?xml version="1.0" encoding="utf-8"?>
<ds:datastoreItem xmlns:ds="http://schemas.openxmlformats.org/officeDocument/2006/customXml" ds:itemID="{1F6CEF72-7286-4EF5-97A3-5DA288EE8F84}"/>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2026-07-30T20:38:53Z</dcterms:created>
  <dcterms:modified xsi:type="dcterms:W3CDTF">2026-07-30T20:38:53Z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