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h-construction-sales-estimating-guide"/>
    <w:p>
      <w:pPr>
        <w:pStyle w:val="Heading1"/>
      </w:pPr>
      <w:r>
        <w:t xml:space="preserve">MH Construction Sales &amp; Estimating Guide</w:t>
      </w:r>
    </w:p>
    <w:bookmarkStart w:id="20" w:name="preconstruction-trade-partner-operations"/>
    <w:p>
      <w:pPr>
        <w:pStyle w:val="Heading2"/>
      </w:pPr>
      <w:r>
        <w:t xml:space="preserve">Preconstruction &amp; Trade Partner Operations</w:t>
      </w:r>
    </w:p>
    <w:p>
      <w:pPr>
        <w:pStyle w:val="FirstParagraph"/>
      </w:pPr>
      <w:r>
        <w:rPr>
          <w:bCs/>
          <w:b/>
        </w:rPr>
        <w:t xml:space="preserve">Revision:</w:t>
      </w:r>
      <w:r>
        <w:t xml:space="preserve"> </w:t>
      </w:r>
      <w:r>
        <w:t xml:space="preserve">1.1 |</w:t>
      </w:r>
      <w:r>
        <w:t xml:space="preserve"> </w:t>
      </w:r>
      <w:r>
        <w:rPr>
          <w:bCs/>
          <w:b/>
        </w:rPr>
        <w:t xml:space="preserve">Effective Date:</w:t>
      </w:r>
      <w:r>
        <w:t xml:space="preserve"> </w:t>
      </w:r>
      <w:r>
        <w:t xml:space="preserve">July 2026</w:t>
      </w:r>
    </w:p>
    <w:p>
      <w:r>
        <w:pict>
          <v:rect style="width:0;height:1.5pt" o:hralign="center" o:hrstd="t" o:hr="t"/>
        </w:pict>
      </w:r>
    </w:p>
    <w:bookmarkEnd w:id="20"/>
    <w:bookmarkStart w:id="21" w:name="X986e39ed47841a73ebf7056335be4a4bfc61c99"/>
    <w:p>
      <w:pPr>
        <w:pStyle w:val="Heading2"/>
      </w:pPr>
      <w:r>
        <w:t xml:space="preserve">SEG 01 | Core Doctrine &amp; Preconstruction Values</w:t>
      </w:r>
    </w:p>
    <w:p>
      <w:pPr>
        <w:pStyle w:val="FirstParagraph"/>
      </w:pPr>
      <w:r>
        <w:t xml:space="preserve">The MH Construction Sales &amp; Estimating Division operates under the authority of CHNAV (Todd) and the Estimator Officer (CPCO). This division is responsible for qualifying opportunities, defining the scope of work (Mission Parameters), and executing precise, Ground Truth estimating before any project is transitioned to the Operations wing for deployment.</w:t>
      </w:r>
    </w:p>
    <w:p>
      <w:pPr>
        <w:pStyle w:val="BodyText"/>
      </w:pPr>
      <w:r>
        <w:t xml:space="preserve">Our sales philosophy is rooted in</w:t>
      </w:r>
      <w:r>
        <w:t xml:space="preserve"> </w:t>
      </w:r>
      <w:r>
        <w:rPr>
          <w:bCs/>
          <w:b/>
        </w:rPr>
        <w:t xml:space="preserve">Zero-Gap Accountability</w:t>
      </w:r>
      <w:r>
        <w:t xml:space="preserve"> </w:t>
      </w:r>
      <w:r>
        <w:t xml:space="preserve">and</w:t>
      </w:r>
      <w:r>
        <w:t xml:space="preserve"> </w:t>
      </w:r>
      <w:r>
        <w:rPr>
          <w:bCs/>
          <w:b/>
        </w:rPr>
        <w:t xml:space="preserve">Handshake Pride</w:t>
      </w:r>
      <w:r>
        <w:t xml:space="preserve">. We do not win work by missing scope or manipulating numbers; we win work by proving our capability to execute the mission accurately and safely.</w:t>
      </w:r>
    </w:p>
    <w:p>
      <w:pPr>
        <w:numPr>
          <w:ilvl w:val="0"/>
          <w:numId w:val="1001"/>
        </w:numPr>
        <w:pStyle w:val="Compact"/>
      </w:pPr>
      <w:r>
        <w:rPr>
          <w:bCs/>
          <w:b/>
        </w:rPr>
        <w:t xml:space="preserve">Ground Truth Estimating:</w:t>
      </w:r>
      <w:r>
        <w:t xml:space="preserve"> </w:t>
      </w:r>
      <w:r>
        <w:t xml:space="preserve">We estimate based on verified site conditions and exhaustive Mission Parameters, not assumptions.</w:t>
      </w:r>
    </w:p>
    <w:p>
      <w:pPr>
        <w:numPr>
          <w:ilvl w:val="0"/>
          <w:numId w:val="1001"/>
        </w:numPr>
        <w:pStyle w:val="Compact"/>
      </w:pPr>
      <w:r>
        <w:rPr>
          <w:bCs/>
          <w:b/>
        </w:rPr>
        <w:t xml:space="preserve">Zero-Gap Accountability:</w:t>
      </w:r>
      <w:r>
        <w:t xml:space="preserve"> </w:t>
      </w:r>
      <w:r>
        <w:t xml:space="preserve">We bridge the gap between initial bidding and strict MISH safety requirements. Every Trade Partner must understand our operational standard before a contract is signed.</w:t>
      </w:r>
    </w:p>
    <w:p>
      <w:pPr>
        <w:numPr>
          <w:ilvl w:val="0"/>
          <w:numId w:val="1001"/>
        </w:numPr>
        <w:pStyle w:val="Compact"/>
      </w:pPr>
      <w:r>
        <w:rPr>
          <w:bCs/>
          <w:b/>
        </w:rPr>
        <w:t xml:space="preserve">Handshake Pride:</w:t>
      </w:r>
      <w:r>
        <w:t xml:space="preserve"> </w:t>
      </w:r>
      <w:r>
        <w:t xml:space="preserve">We build relationships based on trust, transparency, and verified performance. We build for the client, not just the dollar.</w:t>
      </w:r>
    </w:p>
    <w:p>
      <w:r>
        <w:pict>
          <v:rect style="width:0;height:1.5pt" o:hralign="center" o:hrstd="t" o:hr="t"/>
        </w:pict>
      </w:r>
    </w:p>
    <w:bookmarkEnd w:id="21"/>
    <w:bookmarkStart w:id="23" w:name="seg-02-command-controls-approval-matrix"/>
    <w:p>
      <w:pPr>
        <w:pStyle w:val="Heading2"/>
      </w:pPr>
      <w:r>
        <w:t xml:space="preserve">SEG 02 | Command Controls &amp; Approval Matrix</w:t>
      </w:r>
    </w:p>
    <w:p>
      <w:pPr>
        <w:pStyle w:val="FirstParagraph"/>
      </w:pPr>
      <w:r>
        <w:t xml:space="preserve">To protect the enterprise from financial exposure, all estimates, proposals, and post-contract change orders must follow the established approval matrix before being presented to a Client Partner.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Proposal / Change Order Value</w:t>
            </w:r>
          </w:p>
        </w:tc>
        <w:tc>
          <w:tcPr/>
          <w:p>
            <w:pPr>
              <w:pStyle w:val="Compact"/>
              <w:jc w:val="left"/>
            </w:pPr>
            <w:r>
              <w:t xml:space="preserve">Required Approval Authority</w:t>
            </w:r>
          </w:p>
        </w:tc>
      </w:tr>
      <w:tr>
        <w:tc>
          <w:tcPr/>
          <w:p>
            <w:pPr>
              <w:pStyle w:val="Compact"/>
              <w:jc w:val="left"/>
            </w:pPr>
            <w:r>
              <w:rPr>
                <w:bCs/>
                <w:b/>
              </w:rPr>
              <w:t xml:space="preserve">Under $25,000</w:t>
            </w:r>
          </w:p>
        </w:tc>
        <w:tc>
          <w:tcPr/>
          <w:p>
            <w:pPr>
              <w:pStyle w:val="Compact"/>
              <w:jc w:val="left"/>
            </w:pPr>
            <w:r>
              <w:t xml:space="preserve">Project Manager (Alpha/Bravo/Charlie Wing)</w:t>
            </w:r>
          </w:p>
        </w:tc>
      </w:tr>
      <w:tr>
        <w:tc>
          <w:tcPr/>
          <w:p>
            <w:pPr>
              <w:pStyle w:val="Compact"/>
              <w:jc w:val="left"/>
            </w:pPr>
            <w:r>
              <w:rPr>
                <w:bCs/>
                <w:b/>
              </w:rPr>
              <w:t xml:space="preserve">$25,000 to $50,000</w:t>
            </w:r>
          </w:p>
        </w:tc>
        <w:tc>
          <w:tcPr/>
          <w:p>
            <w:pPr>
              <w:pStyle w:val="Compact"/>
              <w:jc w:val="left"/>
            </w:pPr>
            <w:r>
              <w:t xml:space="preserve">Chief Operating Officer (XO)</w:t>
            </w:r>
          </w:p>
        </w:tc>
      </w:tr>
      <w:tr>
        <w:tc>
          <w:tcPr/>
          <w:p>
            <w:pPr>
              <w:pStyle w:val="Compact"/>
              <w:jc w:val="left"/>
            </w:pPr>
            <w:r>
              <w:rPr>
                <w:bCs/>
                <w:b/>
              </w:rPr>
              <w:t xml:space="preserve">Over $50,000</w:t>
            </w:r>
          </w:p>
        </w:tc>
        <w:tc>
          <w:tcPr/>
          <w:p>
            <w:pPr>
              <w:pStyle w:val="Compact"/>
              <w:jc w:val="left"/>
            </w:pPr>
            <w:r>
              <w:t xml:space="preserve">President and CEO (CO)</w:t>
            </w:r>
          </w:p>
        </w:tc>
      </w:tr>
    </w:tbl>
    <w:p>
      <w:pPr>
        <w:pStyle w:val="BodyText"/>
      </w:pPr>
      <w:r>
        <w:rPr>
          <w:iCs/>
          <w:i/>
        </w:rPr>
        <w:t xml:space="preserve">Note: CHNAV and CPCO oversee the accuracy of the estimate, but financial execution authority rests with the Operations/Command chain. This threshold matrix applies to both initial proposals and post-contract change orders (governed by Operations Manual Section 04).</w:t>
      </w:r>
    </w:p>
    <w:bookmarkStart w:id="22" w:name="wing-designations"/>
    <w:p>
      <w:pPr>
        <w:pStyle w:val="Heading3"/>
      </w:pPr>
      <w:r>
        <w:t xml:space="preserve">Wing Designations</w:t>
      </w:r>
    </w:p>
    <w:p>
      <w:pPr>
        <w:pStyle w:val="FirstParagraph"/>
      </w:pPr>
      <w:r>
        <w:t xml:space="preserve">Project Managers are designated by</w:t>
      </w:r>
      <w:r>
        <w:t xml:space="preserve"> </w:t>
      </w:r>
      <w:r>
        <w:t xml:space="preserve">“</w:t>
      </w:r>
      <w:r>
        <w:t xml:space="preserve">Wings</w:t>
      </w:r>
      <w:r>
        <w:t xml:space="preserve">”</w:t>
      </w:r>
      <w:r>
        <w:t xml:space="preserve"> </w:t>
      </w:r>
      <w:r>
        <w:t xml:space="preserve">(e.g., Alpha, Bravo, Charlie). Each PM oversees multiple Superintendents designated by their respective Wing (e.g., 1 Alpha, 2 Alpha). The Sales team must coordinate with the appropriate Wing PM during the proposal phase based on project type and capacity.</w:t>
      </w:r>
    </w:p>
    <w:p>
      <w:r>
        <w:pict>
          <v:rect style="width:0;height:1.5pt" o:hralign="center" o:hrstd="t" o:hr="t"/>
        </w:pict>
      </w:r>
    </w:p>
    <w:bookmarkEnd w:id="22"/>
    <w:bookmarkEnd w:id="23"/>
    <w:bookmarkStart w:id="30" w:name="X56fc619b45f89f6952a7fc3a367153edfb6c391"/>
    <w:p>
      <w:pPr>
        <w:pStyle w:val="Heading2"/>
      </w:pPr>
      <w:r>
        <w:t xml:space="preserve">SEG 03 | The 6-Step Preconstruction Workflow</w:t>
      </w:r>
    </w:p>
    <w:bookmarkStart w:id="24" w:name="step-1-opportunity-qualification"/>
    <w:p>
      <w:pPr>
        <w:pStyle w:val="Heading3"/>
      </w:pPr>
      <w:r>
        <w:t xml:space="preserve">Step 1: Opportunity Qualification</w:t>
      </w:r>
    </w:p>
    <w:p>
      <w:pPr>
        <w:pStyle w:val="FirstParagraph"/>
      </w:pPr>
      <w:r>
        <w:t xml:space="preserve">Not every project fits the MHC Operational Tempo. CHNAV must evaluate opportunities against our timeline and capabilities.</w:t>
      </w:r>
      <w:r>
        <w:t xml:space="preserve"> </w:t>
      </w:r>
      <w:r>
        <w:t xml:space="preserve">- Does the project align with our transition toward being a Vertically Integrated enterprise?</w:t>
      </w:r>
      <w:r>
        <w:t xml:space="preserve"> </w:t>
      </w:r>
      <w:r>
        <w:t xml:space="preserve">- Does the Client Partner value</w:t>
      </w:r>
      <w:r>
        <w:t xml:space="preserve"> </w:t>
      </w:r>
      <w:r>
        <w:t xml:space="preserve">“</w:t>
      </w:r>
      <w:r>
        <w:t xml:space="preserve">Handshake Pride</w:t>
      </w:r>
      <w:r>
        <w:t xml:space="preserve">”</w:t>
      </w:r>
      <w:r>
        <w:t xml:space="preserve"> </w:t>
      </w:r>
      <w:r>
        <w:t xml:space="preserve">and relationship-first building, or are they strictly looking for the lowest dollar?</w:t>
      </w:r>
    </w:p>
    <w:bookmarkEnd w:id="24"/>
    <w:bookmarkStart w:id="25" w:name="step-2-defining-mission-parameters-scope"/>
    <w:p>
      <w:pPr>
        <w:pStyle w:val="Heading3"/>
      </w:pPr>
      <w:r>
        <w:t xml:space="preserve">Step 2: Defining Mission Parameters (Scope)</w:t>
      </w:r>
    </w:p>
    <w:p>
      <w:pPr>
        <w:pStyle w:val="FirstParagraph"/>
      </w:pPr>
      <w:r>
        <w:t xml:space="preserve">Once qualified, the estimating team (led by CPCO) defines the Mission Parameters. This replaces the generic industry term</w:t>
      </w:r>
      <w:r>
        <w:t xml:space="preserve"> </w:t>
      </w:r>
      <w:r>
        <w:t xml:space="preserve">“</w:t>
      </w:r>
      <w:r>
        <w:t xml:space="preserve">scope.</w:t>
      </w:r>
      <w:r>
        <w:t xml:space="preserve">”</w:t>
      </w:r>
      <w:r>
        <w:t xml:space="preserve"> </w:t>
      </w:r>
      <w:r>
        <w:t xml:space="preserve">The parameters must be exhaustive, identifying the Ground Truth of the site conditions. If necessary, request an initial Spatial Capture to verify site conditions before finalizing the estimate.</w:t>
      </w:r>
    </w:p>
    <w:bookmarkEnd w:id="25"/>
    <w:bookmarkStart w:id="26" w:name="X4039836e04a0dd659581663c89572dbc0b93e89"/>
    <w:p>
      <w:pPr>
        <w:pStyle w:val="Heading3"/>
      </w:pPr>
      <w:r>
        <w:t xml:space="preserve">Step 3: Trade Partner (Sub-Operator) Qualification</w:t>
      </w:r>
    </w:p>
    <w:p>
      <w:pPr>
        <w:pStyle w:val="FirstParagraph"/>
      </w:pPr>
      <w:r>
        <w:t xml:space="preserve">MHC relies on high-quality Trade Partners to execute the project timeline (Site Work, Asphalt, Roofing, MEPs). The Sales team must bridge the gap between initial bidding and the strict MISH 57 contractor prequalification requirements.</w:t>
      </w:r>
      <w:r>
        <w:t xml:space="preserve"> </w:t>
      </w:r>
      <w:r>
        <w:t xml:space="preserve">- All Trade Partners must be vetted for safety records, financial stability, and capacity.</w:t>
      </w:r>
      <w:r>
        <w:t xml:space="preserve"> </w:t>
      </w:r>
      <w:r>
        <w:t xml:space="preserve">- They must agree to operate under MHC’s Zero-Gap Accountability standards.</w:t>
      </w:r>
    </w:p>
    <w:bookmarkEnd w:id="26"/>
    <w:bookmarkStart w:id="27" w:name="step-4-estimate-development-standard"/>
    <w:p>
      <w:pPr>
        <w:pStyle w:val="Heading3"/>
      </w:pPr>
      <w:r>
        <w:t xml:space="preserve">Step 4: Estimate Development Standard</w:t>
      </w:r>
    </w:p>
    <w:p>
      <w:pPr>
        <w:pStyle w:val="FirstParagraph"/>
      </w:pPr>
      <w:r>
        <w:t xml:space="preserve">Estimates are built using Sage 100 and Procore. The estimate must account for:</w:t>
      </w:r>
      <w:r>
        <w:t xml:space="preserve"> </w:t>
      </w:r>
      <w:r>
        <w:t xml:space="preserve">- All materials and self-performed labor (Framing, Siding, Drywall).</w:t>
      </w:r>
      <w:r>
        <w:t xml:space="preserve"> </w:t>
      </w:r>
      <w:r>
        <w:t xml:space="preserve">- Safety Command overhead (Protective Posture equipment).</w:t>
      </w:r>
      <w:r>
        <w:t xml:space="preserve"> </w:t>
      </w:r>
      <w:r>
        <w:t xml:space="preserve">-</w:t>
      </w:r>
      <w:r>
        <w:t xml:space="preserve"> </w:t>
      </w:r>
      <w:r>
        <w:rPr>
          <w:bCs/>
          <w:b/>
        </w:rPr>
        <w:t xml:space="preserve">Marketing Cost Codes</w:t>
      </w:r>
      <w:r>
        <w:t xml:space="preserve"> </w:t>
      </w:r>
      <w:r>
        <w:t xml:space="preserve">(Spatial Capture, Digital Twin processing, Commercials).</w:t>
      </w:r>
    </w:p>
    <w:bookmarkEnd w:id="27"/>
    <w:bookmarkStart w:id="28" w:name="step-5-proposal-presentation"/>
    <w:p>
      <w:pPr>
        <w:pStyle w:val="Heading3"/>
      </w:pPr>
      <w:r>
        <w:t xml:space="preserve">Step 5: Proposal Presentation</w:t>
      </w:r>
    </w:p>
    <w:p>
      <w:pPr>
        <w:pStyle w:val="FirstParagraph"/>
      </w:pPr>
      <w:r>
        <w:t xml:space="preserve">Proposals must be clean, professional, and free of unnecessary graphics.</w:t>
      </w:r>
      <w:r>
        <w:t xml:space="preserve"> </w:t>
      </w:r>
      <w:r>
        <w:t xml:space="preserve">- Use the Client Partner’s logo (procured from their website) on the cover sheet.</w:t>
      </w:r>
      <w:r>
        <w:t xml:space="preserve"> </w:t>
      </w:r>
      <w:r>
        <w:t xml:space="preserve">- Clearly define the Rules of Engagement (contract terms).</w:t>
      </w:r>
      <w:r>
        <w:t xml:space="preserve"> </w:t>
      </w:r>
      <w:r>
        <w:t xml:space="preserve">- Present the proposal as a partnership.</w:t>
      </w:r>
    </w:p>
    <w:bookmarkEnd w:id="28"/>
    <w:bookmarkStart w:id="29" w:name="step-6-the-operations-brief-handoff"/>
    <w:p>
      <w:pPr>
        <w:pStyle w:val="Heading3"/>
      </w:pPr>
      <w:r>
        <w:t xml:space="preserve">Step 6: The Operations Brief (Handoff)</w:t>
      </w:r>
    </w:p>
    <w:p>
      <w:pPr>
        <w:pStyle w:val="FirstParagraph"/>
      </w:pPr>
      <w:r>
        <w:t xml:space="preserve">Upon contract award, CHNAV leads the Operations Brief. This is the formal handoff meeting where the Sales team transfers all Mission Parameters and Ground Truth intelligence to the Executive Officer (XO) and the Project Management wings for Deployment. Marketing (CHENG) also begins Phase I public communications at this point while Sales and Operations maintain coordinated stakeholder handoff continuity.</w:t>
      </w:r>
    </w:p>
    <w:p>
      <w:r>
        <w:pict>
          <v:rect style="width:0;height:1.5pt" o:hralign="center" o:hrstd="t" o:hr="t"/>
        </w:pict>
      </w:r>
    </w:p>
    <w:bookmarkEnd w:id="29"/>
    <w:bookmarkEnd w:id="30"/>
    <w:bookmarkStart w:id="31" w:name="seg-04-trade-partner-relations"/>
    <w:p>
      <w:pPr>
        <w:pStyle w:val="Heading2"/>
      </w:pPr>
      <w:r>
        <w:t xml:space="preserve">SEG 04 | Trade Partner Relations</w:t>
      </w:r>
    </w:p>
    <w:p>
      <w:pPr>
        <w:pStyle w:val="FirstParagraph"/>
      </w:pPr>
      <w:r>
        <w:t xml:space="preserve">The Sales team is the first point of contact for local specialized subcontractors. In our branded communications, we refer to them exclusively as</w:t>
      </w:r>
      <w:r>
        <w:t xml:space="preserve"> </w:t>
      </w:r>
      <w:r>
        <w:rPr>
          <w:bCs/>
          <w:b/>
        </w:rPr>
        <w:t xml:space="preserve">Trade Partners</w:t>
      </w:r>
      <w:r>
        <w:t xml:space="preserve"> </w:t>
      </w:r>
      <w:r>
        <w:t xml:space="preserve">or</w:t>
      </w:r>
      <w:r>
        <w:t xml:space="preserve"> </w:t>
      </w:r>
      <w:r>
        <w:rPr>
          <w:bCs/>
          <w:b/>
        </w:rPr>
        <w:t xml:space="preserve">Sub-Operators</w:t>
      </w:r>
      <w:r>
        <w:t xml:space="preserve">.</w:t>
      </w:r>
      <w:r>
        <w:t xml:space="preserve"> </w:t>
      </w:r>
      <w:r>
        <w:rPr>
          <w:iCs/>
          <w:i/>
        </w:rPr>
        <w:t xml:space="preserve">(Note: The term</w:t>
      </w:r>
      <w:r>
        <w:rPr>
          <w:iCs/>
          <w:i/>
        </w:rPr>
        <w:t xml:space="preserve"> </w:t>
      </w:r>
      <w:r>
        <w:rPr>
          <w:iCs/>
          <w:i/>
        </w:rPr>
        <w:t xml:space="preserve">“</w:t>
      </w:r>
      <w:r>
        <w:rPr>
          <w:iCs/>
          <w:i/>
        </w:rPr>
        <w:t xml:space="preserve">Subcontractor</w:t>
      </w:r>
      <w:r>
        <w:rPr>
          <w:iCs/>
          <w:i/>
        </w:rPr>
        <w:t xml:space="preserve">”</w:t>
      </w:r>
      <w:r>
        <w:rPr>
          <w:iCs/>
          <w:i/>
        </w:rPr>
        <w:t xml:space="preserve"> </w:t>
      </w:r>
      <w:r>
        <w:rPr>
          <w:iCs/>
          <w:i/>
        </w:rPr>
        <w:t xml:space="preserve">is used in regulatory and legal contexts per MISH 46).</w:t>
      </w:r>
    </w:p>
    <w:p>
      <w:pPr>
        <w:numPr>
          <w:ilvl w:val="0"/>
          <w:numId w:val="1002"/>
        </w:numPr>
        <w:pStyle w:val="Compact"/>
      </w:pPr>
      <w:r>
        <w:t xml:space="preserve">Treat them with the same respect as Client Partners.</w:t>
      </w:r>
    </w:p>
    <w:p>
      <w:pPr>
        <w:numPr>
          <w:ilvl w:val="0"/>
          <w:numId w:val="1002"/>
        </w:numPr>
        <w:pStyle w:val="Compact"/>
      </w:pPr>
      <w:r>
        <w:t xml:space="preserve">Communicate clearly that working with MHC means adhering to a disciplined, safety-first standard.</w:t>
      </w:r>
    </w:p>
    <w:p>
      <w:pPr>
        <w:numPr>
          <w:ilvl w:val="0"/>
          <w:numId w:val="1002"/>
        </w:numPr>
        <w:pStyle w:val="Compact"/>
      </w:pPr>
      <w:r>
        <w:t xml:space="preserve">Successful Trade Partners will be highlighted by the Marketing team during Phase II execution.</w:t>
      </w:r>
    </w:p>
    <w:p>
      <w:r>
        <w:pict>
          <v:rect style="width:0;height:1.5pt" o:hralign="center" o:hrstd="t" o:hr="t"/>
        </w:pict>
      </w:r>
    </w:p>
    <w:p>
      <w:pPr>
        <w:pStyle w:val="FirstParagraph"/>
      </w:pPr>
      <w:r>
        <w:rPr>
          <w:bCs/>
          <w:b/>
        </w:rPr>
        <w:t xml:space="preserve">Approval:</w:t>
      </w:r>
      <w:r>
        <w:t xml:space="preserve"> </w:t>
      </w:r>
      <w:r>
        <w:t xml:space="preserve">Jeremy Thamert, President and CEO | Todd, CHNAV</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7A4D5BC-849E-4FE6-906D-24DA3F99DB0F}"/>
</file>

<file path=customXml/itemProps2.xml><?xml version="1.0" encoding="utf-8"?>
<ds:datastoreItem xmlns:ds="http://schemas.openxmlformats.org/officeDocument/2006/customXml" ds:itemID="{117CEA6B-22CC-4102-AE38-E1C050BE2B28}"/>
</file>

<file path=customXml/itemProps3.xml><?xml version="1.0" encoding="utf-8"?>
<ds:datastoreItem xmlns:ds="http://schemas.openxmlformats.org/officeDocument/2006/customXml" ds:itemID="{8319E21A-4165-47CF-B6A3-BE96B9FFE30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2026-07-30T20:38:53Z</dcterms:created>
  <dcterms:modified xsi:type="dcterms:W3CDTF">2026-07-30T20:38:53Z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