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60" w:after="360"/>
        <w:rPr/>
      </w:pPr>
      <w:r>
        <w:rPr/>
        <w:drawing>
          <wp:inline distT="0" distB="0" distL="0" distR="0">
            <wp:extent cx="2331720" cy="1329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331720" cy="1329055"/>
                    </a:xfrm>
                    <a:prstGeom prst="rect">
                      <a:avLst/>
                    </a:prstGeom>
                    <a:noFill/>
                  </pic:spPr>
                </pic:pic>
              </a:graphicData>
            </a:graphic>
          </wp:inline>
        </w:drawing>
      </w:r>
    </w:p>
    <w:p>
      <w:pPr>
        <w:pStyle w:val="Normal"/>
        <w:rPr/>
      </w:pPr>
      <w:r>
        <w:rPr/>
        <w:t>Control: Version 1.0 | Status Rough Draft | Author and Chief Editor: Matt Ramsey | Co-Editor: Todd Shoeff | Final Approver: Jeremy Thamert</w:t>
      </w:r>
    </w:p>
    <w:p>
      <w:pPr>
        <w:pStyle w:val="Title"/>
        <w:spacing w:before="160" w:after="200"/>
        <w:contextualSpacing/>
        <w:rPr/>
      </w:pPr>
      <w:r>
        <w:rPr>
          <w:rFonts w:ascii="Mendl Sans Dusk Bold" w:hAnsi="Mendl Sans Dusk Bold"/>
          <w:b/>
          <w:color w:val="386851"/>
          <w:sz w:val="54"/>
        </w:rPr>
        <w:t>MH Construction, INC Enterprise Management System</w:t>
      </w:r>
    </w:p>
    <w:p>
      <w:pPr>
        <w:pStyle w:val="Heading2"/>
        <w:rPr/>
      </w:pPr>
      <w:r>
        <w:rPr>
          <w:rFonts w:ascii="Mendl Sans Dusk Medium" w:hAnsi="Mendl Sans Dusk Medium"/>
          <w:b w:val="false"/>
          <w:color w:val="628F79"/>
          <w:sz w:val="26"/>
        </w:rPr>
        <w:t>Company-wide policy, operating model and controlled-library architecture</w:t>
      </w:r>
    </w:p>
    <w:p>
      <w:pPr>
        <w:pStyle w:val="Normal"/>
        <w:rPr/>
      </w:pPr>
      <w:r>
        <w:rPr>
          <w:rFonts w:ascii="Mendl Sans Dusk Bold" w:hAnsi="Mendl Sans Dusk Bold"/>
          <w:b/>
          <w:color w:val="202723"/>
          <w:sz w:val="21"/>
        </w:rPr>
        <w:t>Document ID: EMS-001 Version: 1.0 Owner: CEO Approver: Jeremy Thamert Review cycle: Annual and upon material change Classification: Internal - controlled Status: Rough Draft Effective date: Pending approval Supersedes: All prior enterprise umbrella drafts</w:t>
      </w:r>
    </w:p>
    <w:tbl>
      <w:tblPr>
        <w:tblW w:w="9360" w:type="dxa"/>
        <w:jc w:val="start"/>
        <w:tblInd w:w="180" w:type="dxa"/>
        <w:tblLayout w:type="fixed"/>
        <w:tblCellMar>
          <w:top w:w="140" w:type="dxa"/>
          <w:start w:w="180" w:type="dxa"/>
          <w:bottom w:w="140" w:type="dxa"/>
          <w:end w:w="180" w:type="dxa"/>
        </w:tblCellMar>
        <w:tblLook w:val="04a0" w:firstRow="1" w:noVBand="1" w:lastRow="0" w:firstColumn="1" w:lastColumn="0" w:noHBand="0"/>
      </w:tblPr>
      <w:tblGrid>
        <w:gridCol w:w="9360"/>
      </w:tblGrid>
      <w:tr>
        <w:trPr/>
        <w:tc>
          <w:tcPr>
            <w:tcW w:w="9360" w:type="dxa"/>
            <w:tcBorders/>
            <w:shd w:fill="FFFFFF" w:val="clear"/>
            <w:vAlign w:val="center"/>
          </w:tcPr>
          <w:p>
            <w:pPr>
              <w:pStyle w:val="Normal"/>
              <w:spacing w:before="0" w:after="40"/>
              <w:rPr/>
            </w:pPr>
            <w:r>
              <w:rPr>
                <w:b w:val="false"/>
                <w:color w:val="000000"/>
                <w:sz w:val="17"/>
              </w:rPr>
              <w:t>This document is the umbrella management system for MH Construction, INC It does not replace the Employee Handbook, project contracts, approved safety programs, manufacturer instructions, engineered plans, law, or regulation. Where requirements conflict, the more protective or legally controlling requirement applies and the conflict must be escalated.</w:t>
            </w:r>
          </w:p>
        </w:tc>
      </w:tr>
    </w:tbl>
    <w:p>
      <w:pPr>
        <w:pStyle w:val="Normal"/>
        <w:spacing w:before="0" w:after="20"/>
        <w:rPr/>
      </w:pPr>
      <w:r>
        <w:rPr/>
      </w:r>
    </w:p>
    <w:p>
      <w:pPr>
        <w:pStyle w:val="Normal"/>
        <w:rPr/>
      </w:pPr>
      <w:r>
        <w:rPr/>
      </w:r>
      <w:r>
        <w:br w:type="page"/>
      </w:r>
    </w:p>
    <w:p>
      <w:pPr>
        <w:pStyle w:val="Heading2"/>
        <w:spacing w:before="0" w:after="120"/>
        <w:rPr/>
      </w:pPr>
      <w:r>
        <w:rPr>
          <w:rFonts w:ascii="Mendl Sans Dusk Medium" w:hAnsi="Mendl Sans Dusk Medium"/>
          <w:b w:val="false"/>
          <w:color w:val="628F79"/>
          <w:sz w:val="26"/>
        </w:rPr>
        <w:t>How to use this manual</w:t>
      </w:r>
    </w:p>
    <w:p>
      <w:pPr>
        <w:pStyle w:val="Normal"/>
        <w:rPr/>
      </w:pPr>
      <w:r>
        <w:rPr>
          <w:b w:val="false"/>
          <w:color w:val="202723"/>
          <w:sz w:val="21"/>
        </w:rPr>
        <w:t>This manual answers five company-wide questions:</w:t>
      </w:r>
    </w:p>
    <w:p>
      <w:pPr>
        <w:pStyle w:val="ListNumber"/>
        <w:numPr>
          <w:ilvl w:val="0"/>
          <w:numId w:val="4"/>
        </w:numPr>
        <w:spacing w:lineRule="auto" w:line="276" w:before="0" w:after="80"/>
        <w:ind w:hanging="259" w:start="461"/>
        <w:contextualSpacing/>
        <w:rPr/>
      </w:pPr>
      <w:r>
        <w:rPr>
          <w:b w:val="false"/>
          <w:color w:val="202723"/>
          <w:sz w:val="21"/>
        </w:rPr>
        <w:t>Who owns the decision?</w:t>
      </w:r>
    </w:p>
    <w:p>
      <w:pPr>
        <w:pStyle w:val="ListNumber"/>
        <w:numPr>
          <w:ilvl w:val="0"/>
          <w:numId w:val="4"/>
        </w:numPr>
        <w:spacing w:lineRule="auto" w:line="276" w:before="0" w:after="80"/>
        <w:ind w:hanging="259" w:start="461"/>
        <w:contextualSpacing/>
        <w:rPr/>
      </w:pPr>
      <w:r>
        <w:rPr>
          <w:b w:val="false"/>
          <w:color w:val="202723"/>
          <w:sz w:val="21"/>
        </w:rPr>
        <w:t>What must happen?</w:t>
      </w:r>
    </w:p>
    <w:p>
      <w:pPr>
        <w:pStyle w:val="ListNumber"/>
        <w:numPr>
          <w:ilvl w:val="0"/>
          <w:numId w:val="4"/>
        </w:numPr>
        <w:spacing w:lineRule="auto" w:line="276" w:before="0" w:after="80"/>
        <w:ind w:hanging="259" w:start="461"/>
        <w:contextualSpacing/>
        <w:rPr/>
      </w:pPr>
      <w:r>
        <w:rPr>
          <w:b w:val="false"/>
          <w:color w:val="202723"/>
          <w:sz w:val="21"/>
        </w:rPr>
        <w:t>What evidence proves it happened?</w:t>
      </w:r>
    </w:p>
    <w:p>
      <w:pPr>
        <w:pStyle w:val="ListNumber"/>
        <w:numPr>
          <w:ilvl w:val="0"/>
          <w:numId w:val="4"/>
        </w:numPr>
        <w:spacing w:lineRule="auto" w:line="276" w:before="0" w:after="80"/>
        <w:ind w:hanging="259" w:start="461"/>
        <w:contextualSpacing/>
        <w:rPr/>
      </w:pPr>
      <w:r>
        <w:rPr>
          <w:b w:val="false"/>
          <w:color w:val="202723"/>
          <w:sz w:val="21"/>
        </w:rPr>
        <w:t>Where is the approved record stored?</w:t>
      </w:r>
    </w:p>
    <w:p>
      <w:pPr>
        <w:pStyle w:val="ListNumber"/>
        <w:numPr>
          <w:ilvl w:val="0"/>
          <w:numId w:val="4"/>
        </w:numPr>
        <w:spacing w:lineRule="auto" w:line="276" w:before="0" w:after="80"/>
        <w:ind w:hanging="259" w:start="461"/>
        <w:contextualSpacing/>
        <w:rPr/>
      </w:pPr>
      <w:r>
        <w:rPr>
          <w:b w:val="false"/>
          <w:color w:val="202723"/>
          <w:sz w:val="21"/>
        </w:rPr>
        <w:t>How are exceptions, changes and lessons learned controlled?</w:t>
      </w:r>
    </w:p>
    <w:p>
      <w:pPr>
        <w:pStyle w:val="Normal"/>
        <w:rPr/>
      </w:pPr>
      <w:r>
        <w:rPr>
          <w:b w:val="false"/>
          <w:color w:val="202723"/>
          <w:sz w:val="21"/>
        </w:rPr>
        <w:t>The Enterprise Management System (EMS) has four document layers:</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Layer</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Document type</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Purpose</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1</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Enterprise policy</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Defines company intent, accountability and non-negotiable controls.</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2</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Functional manual</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Defines how a business function operates.</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3</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Procedure/work instruction</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Defines repeatable execution steps.</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4</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Form/record</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Captures evidence, approval and outcome.</w:t>
            </w:r>
          </w:p>
        </w:tc>
      </w:tr>
    </w:tbl>
    <w:p>
      <w:pPr>
        <w:pStyle w:val="Normal"/>
        <w:spacing w:before="0" w:after="20"/>
        <w:rPr/>
      </w:pPr>
      <w:r>
        <w:rPr/>
      </w:r>
    </w:p>
    <w:p>
      <w:pPr>
        <w:pStyle w:val="Normal"/>
        <w:rPr/>
      </w:pPr>
      <w:r>
        <w:rPr>
          <w:b w:val="false"/>
          <w:color w:val="202723"/>
          <w:sz w:val="21"/>
        </w:rPr>
        <w:t>No employee is expected to memorize every manual. Every employee is expected to know the policies and procedures applicable to their role, know where the current approved version is located, and stop and ask when conditions fall outside the approved process.</w:t>
      </w:r>
    </w:p>
    <w:p>
      <w:pPr>
        <w:pStyle w:val="Heading3"/>
        <w:rPr/>
      </w:pPr>
      <w:r>
        <w:rPr>
          <w:rFonts w:ascii="Mendl Sans Dusk Medium" w:hAnsi="Mendl Sans Dusk Medium"/>
          <w:b w:val="false"/>
          <w:color w:val="1E392C"/>
          <w:sz w:val="23"/>
        </w:rPr>
        <w:t>The five first-class company manuals</w:t>
      </w:r>
    </w:p>
    <w:p>
      <w:pPr>
        <w:pStyle w:val="Normal"/>
        <w:rPr/>
      </w:pPr>
      <w:r>
        <w:rPr>
          <w:b w:val="false"/>
          <w:color w:val="202723"/>
          <w:sz w:val="21"/>
        </w:rPr>
        <w:t>The MHC Bible is an umbrella system, not one oversized file. Its governed core is five first-class manuals that remain independently owned, approved, versioned and searchable:</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spacing w:before="0" w:after="40"/>
              <w:rPr/>
            </w:pPr>
            <w:r>
              <w:rPr>
                <w:b/>
                <w:color w:val="FFFFFF"/>
                <w:sz w:val="17"/>
              </w:rPr>
              <w:t>Manual</w:t>
            </w:r>
          </w:p>
        </w:tc>
        <w:tc>
          <w:tcPr>
            <w:tcW w:w="3293" w:type="dxa"/>
            <w:tcBorders/>
            <w:shd w:fill="386851" w:val="clear"/>
            <w:vAlign w:val="center"/>
          </w:tcPr>
          <w:p>
            <w:pPr>
              <w:pStyle w:val="Normal"/>
              <w:spacing w:before="0" w:after="40"/>
              <w:rPr/>
            </w:pPr>
            <w:r>
              <w:rPr>
                <w:b/>
                <w:color w:val="FFFFFF"/>
                <w:sz w:val="17"/>
              </w:rPr>
              <w:t>Governing Purpose</w:t>
            </w:r>
          </w:p>
        </w:tc>
        <w:tc>
          <w:tcPr>
            <w:tcW w:w="3293" w:type="dxa"/>
            <w:tcBorders/>
            <w:shd w:fill="386851" w:val="clear"/>
            <w:vAlign w:val="center"/>
          </w:tcPr>
          <w:p>
            <w:pPr>
              <w:pStyle w:val="Normal"/>
              <w:spacing w:before="0" w:after="40"/>
              <w:rPr/>
            </w:pPr>
            <w:r>
              <w:rPr>
                <w:b/>
                <w:color w:val="FFFFFF"/>
                <w:sz w:val="17"/>
              </w:rPr>
              <w:t>Position Owner</w:t>
            </w:r>
          </w:p>
        </w:tc>
      </w:tr>
      <w:tr>
        <w:trPr/>
        <w:tc>
          <w:tcPr>
            <w:tcW w:w="3293" w:type="dxa"/>
            <w:tcBorders/>
            <w:shd w:fill="F4F1EC" w:val="clear"/>
            <w:vAlign w:val="center"/>
          </w:tcPr>
          <w:p>
            <w:pPr>
              <w:pStyle w:val="Normal"/>
              <w:spacing w:before="0" w:after="40"/>
              <w:rPr/>
            </w:pPr>
            <w:r>
              <w:rPr>
                <w:b w:val="false"/>
                <w:color w:val="000000"/>
                <w:sz w:val="17"/>
              </w:rPr>
              <w:t>Employee Handbook (EHB)</w:t>
            </w:r>
          </w:p>
        </w:tc>
        <w:tc>
          <w:tcPr>
            <w:tcW w:w="3293" w:type="dxa"/>
            <w:tcBorders/>
            <w:shd w:fill="F4F1EC" w:val="clear"/>
            <w:vAlign w:val="center"/>
          </w:tcPr>
          <w:p>
            <w:pPr>
              <w:pStyle w:val="Normal"/>
              <w:spacing w:before="0" w:after="40"/>
              <w:rPr/>
            </w:pPr>
            <w:r>
              <w:rPr>
                <w:b w:val="false"/>
                <w:color w:val="000000"/>
                <w:sz w:val="17"/>
              </w:rPr>
              <w:t>Employment relationship, conduct, benefits, leave, discipline, and state addenda</w:t>
            </w:r>
          </w:p>
        </w:tc>
        <w:tc>
          <w:tcPr>
            <w:tcW w:w="3293" w:type="dxa"/>
            <w:tcBorders/>
            <w:shd w:fill="F4F1EC" w:val="clear"/>
            <w:vAlign w:val="center"/>
          </w:tcPr>
          <w:p>
            <w:pPr>
              <w:pStyle w:val="Normal"/>
              <w:spacing w:before="0" w:after="40"/>
              <w:rPr/>
            </w:pPr>
            <w:r>
              <w:rPr>
                <w:b w:val="false"/>
                <w:color w:val="000000"/>
                <w:sz w:val="17"/>
              </w:rPr>
              <w:t>HR, accountable to COO and CEO</w:t>
            </w:r>
          </w:p>
        </w:tc>
      </w:tr>
      <w:tr>
        <w:trPr/>
        <w:tc>
          <w:tcPr>
            <w:tcW w:w="3293" w:type="dxa"/>
            <w:tcBorders/>
            <w:shd w:fill="FFFFFF" w:val="clear"/>
            <w:vAlign w:val="center"/>
          </w:tcPr>
          <w:p>
            <w:pPr>
              <w:pStyle w:val="Normal"/>
              <w:spacing w:before="0" w:after="40"/>
              <w:rPr/>
            </w:pPr>
            <w:r>
              <w:rPr>
                <w:b w:val="false"/>
                <w:color w:val="000000"/>
                <w:sz w:val="17"/>
              </w:rPr>
              <w:t>Operations Manual (OPS)</w:t>
            </w:r>
          </w:p>
        </w:tc>
        <w:tc>
          <w:tcPr>
            <w:tcW w:w="3293" w:type="dxa"/>
            <w:tcBorders/>
            <w:shd w:fill="FFFFFF" w:val="clear"/>
            <w:vAlign w:val="center"/>
          </w:tcPr>
          <w:p>
            <w:pPr>
              <w:pStyle w:val="Normal"/>
              <w:spacing w:before="0" w:after="40"/>
              <w:rPr/>
            </w:pPr>
            <w:r>
              <w:rPr>
                <w:b w:val="false"/>
                <w:color w:val="000000"/>
                <w:sz w:val="17"/>
              </w:rPr>
              <w:t>Project delivery, finance, procurement, quality, equipment, records, and closeout</w:t>
            </w:r>
          </w:p>
        </w:tc>
        <w:tc>
          <w:tcPr>
            <w:tcW w:w="3293" w:type="dxa"/>
            <w:tcBorders/>
            <w:shd w:fill="FFFFFF" w:val="clear"/>
            <w:vAlign w:val="center"/>
          </w:tcPr>
          <w:p>
            <w:pPr>
              <w:pStyle w:val="Normal"/>
              <w:spacing w:before="0" w:after="40"/>
              <w:rPr/>
            </w:pPr>
            <w:r>
              <w:rPr>
                <w:b w:val="false"/>
                <w:color w:val="000000"/>
                <w:sz w:val="17"/>
              </w:rPr>
              <w:t>COO</w:t>
            </w:r>
          </w:p>
        </w:tc>
      </w:tr>
      <w:tr>
        <w:trPr/>
        <w:tc>
          <w:tcPr>
            <w:tcW w:w="3293" w:type="dxa"/>
            <w:tcBorders/>
            <w:shd w:fill="F4F1EC" w:val="clear"/>
            <w:vAlign w:val="center"/>
          </w:tcPr>
          <w:p>
            <w:pPr>
              <w:pStyle w:val="Normal"/>
              <w:spacing w:before="0" w:after="40"/>
              <w:rPr/>
            </w:pPr>
            <w:r>
              <w:rPr>
                <w:b w:val="false"/>
                <w:color w:val="000000"/>
                <w:sz w:val="17"/>
              </w:rPr>
              <w:t>MISH</w:t>
            </w:r>
          </w:p>
        </w:tc>
        <w:tc>
          <w:tcPr>
            <w:tcW w:w="3293" w:type="dxa"/>
            <w:tcBorders/>
            <w:shd w:fill="F4F1EC" w:val="clear"/>
            <w:vAlign w:val="center"/>
          </w:tcPr>
          <w:p>
            <w:pPr>
              <w:pStyle w:val="Normal"/>
              <w:spacing w:before="0" w:after="40"/>
              <w:rPr/>
            </w:pPr>
            <w:r>
              <w:rPr>
                <w:b w:val="false"/>
                <w:color w:val="000000"/>
                <w:sz w:val="17"/>
              </w:rPr>
              <w:t>Industrial safety and health requirements, field controls, and safety programs</w:t>
            </w:r>
          </w:p>
        </w:tc>
        <w:tc>
          <w:tcPr>
            <w:tcW w:w="3293" w:type="dxa"/>
            <w:tcBorders/>
            <w:shd w:fill="F4F1EC" w:val="clear"/>
            <w:vAlign w:val="center"/>
          </w:tcPr>
          <w:p>
            <w:pPr>
              <w:pStyle w:val="Normal"/>
              <w:spacing w:before="0" w:after="40"/>
              <w:rPr/>
            </w:pPr>
            <w:r>
              <w:rPr>
                <w:b w:val="false"/>
                <w:color w:val="000000"/>
                <w:sz w:val="17"/>
              </w:rPr>
              <w:t>CHENG</w:t>
            </w:r>
          </w:p>
        </w:tc>
      </w:tr>
      <w:tr>
        <w:trPr/>
        <w:tc>
          <w:tcPr>
            <w:tcW w:w="3293" w:type="dxa"/>
            <w:tcBorders/>
            <w:shd w:fill="FFFFFF" w:val="clear"/>
            <w:vAlign w:val="center"/>
          </w:tcPr>
          <w:p>
            <w:pPr>
              <w:pStyle w:val="Normal"/>
              <w:spacing w:before="0" w:after="40"/>
              <w:rPr/>
            </w:pPr>
            <w:r>
              <w:rPr>
                <w:b w:val="false"/>
                <w:color w:val="000000"/>
                <w:sz w:val="17"/>
              </w:rPr>
              <w:t>Marketing Guide (MKT)</w:t>
            </w:r>
          </w:p>
        </w:tc>
        <w:tc>
          <w:tcPr>
            <w:tcW w:w="3293" w:type="dxa"/>
            <w:tcBorders/>
            <w:shd w:fill="FFFFFF" w:val="clear"/>
            <w:vAlign w:val="center"/>
          </w:tcPr>
          <w:p>
            <w:pPr>
              <w:pStyle w:val="Normal"/>
              <w:spacing w:before="0" w:after="40"/>
              <w:rPr/>
            </w:pPr>
            <w:r>
              <w:rPr>
                <w:b w:val="false"/>
                <w:color w:val="000000"/>
                <w:sz w:val="17"/>
              </w:rPr>
              <w:t>Brand, market positioning, campaigns, content, and lead stewardship</w:t>
            </w:r>
          </w:p>
        </w:tc>
        <w:tc>
          <w:tcPr>
            <w:tcW w:w="3293" w:type="dxa"/>
            <w:tcBorders/>
            <w:shd w:fill="FFFFFF" w:val="clear"/>
            <w:vAlign w:val="center"/>
          </w:tcPr>
          <w:p>
            <w:pPr>
              <w:pStyle w:val="Normal"/>
              <w:spacing w:before="0" w:after="40"/>
              <w:rPr/>
            </w:pPr>
            <w:r>
              <w:rPr>
                <w:b w:val="false"/>
                <w:color w:val="000000"/>
                <w:sz w:val="17"/>
              </w:rPr>
              <w:t>CHENG</w:t>
            </w:r>
          </w:p>
        </w:tc>
      </w:tr>
      <w:tr>
        <w:trPr/>
        <w:tc>
          <w:tcPr>
            <w:tcW w:w="3293" w:type="dxa"/>
            <w:tcBorders/>
            <w:shd w:fill="F4F1EC" w:val="clear"/>
            <w:vAlign w:val="center"/>
          </w:tcPr>
          <w:p>
            <w:pPr>
              <w:pStyle w:val="Normal"/>
              <w:spacing w:before="0" w:after="40"/>
              <w:rPr/>
            </w:pPr>
            <w:r>
              <w:rPr>
                <w:b w:val="false"/>
                <w:color w:val="000000"/>
                <w:sz w:val="17"/>
              </w:rPr>
              <w:t>Sales Guide (SAL)</w:t>
            </w:r>
          </w:p>
        </w:tc>
        <w:tc>
          <w:tcPr>
            <w:tcW w:w="3293" w:type="dxa"/>
            <w:tcBorders/>
            <w:shd w:fill="F4F1EC" w:val="clear"/>
            <w:vAlign w:val="center"/>
          </w:tcPr>
          <w:p>
            <w:pPr>
              <w:pStyle w:val="Normal"/>
              <w:spacing w:before="0" w:after="40"/>
              <w:rPr/>
            </w:pPr>
            <w:r>
              <w:rPr>
                <w:b w:val="false"/>
                <w:color w:val="000000"/>
                <w:sz w:val="17"/>
              </w:rPr>
              <w:t>Qualification, pursuit, relationship development, and CRM integrity</w:t>
            </w:r>
          </w:p>
        </w:tc>
        <w:tc>
          <w:tcPr>
            <w:tcW w:w="3293" w:type="dxa"/>
            <w:tcBorders/>
            <w:shd w:fill="F4F1EC" w:val="clear"/>
            <w:vAlign w:val="center"/>
          </w:tcPr>
          <w:p>
            <w:pPr>
              <w:pStyle w:val="Normal"/>
              <w:spacing w:before="0" w:after="40"/>
              <w:rPr/>
            </w:pPr>
            <w:r>
              <w:rPr>
                <w:b w:val="false"/>
                <w:color w:val="000000"/>
                <w:sz w:val="17"/>
              </w:rPr>
              <w:t>CHNAV</w:t>
            </w:r>
          </w:p>
        </w:tc>
      </w:tr>
      <w:tr>
        <w:trPr/>
        <w:tc>
          <w:tcPr>
            <w:tcW w:w="3293" w:type="dxa"/>
            <w:tcBorders/>
            <w:shd w:fill="FFFFFF" w:val="clear"/>
            <w:vAlign w:val="center"/>
          </w:tcPr>
          <w:p>
            <w:pPr>
              <w:pStyle w:val="Normal"/>
              <w:spacing w:before="0" w:after="40"/>
              <w:rPr/>
            </w:pPr>
            <w:r>
              <w:rPr>
                <w:b w:val="false"/>
                <w:color w:val="000000"/>
                <w:sz w:val="17"/>
              </w:rPr>
              <w:t>Estimating Guide (EST)</w:t>
            </w:r>
          </w:p>
        </w:tc>
        <w:tc>
          <w:tcPr>
            <w:tcW w:w="3293" w:type="dxa"/>
            <w:tcBorders/>
            <w:shd w:fill="FFFFFF" w:val="clear"/>
            <w:vAlign w:val="center"/>
          </w:tcPr>
          <w:p>
            <w:pPr>
              <w:pStyle w:val="Normal"/>
              <w:spacing w:before="0" w:after="40"/>
              <w:rPr/>
            </w:pPr>
            <w:r>
              <w:rPr>
                <w:b w:val="false"/>
                <w:color w:val="000000"/>
                <w:sz w:val="17"/>
              </w:rPr>
              <w:t>Estimate development, bid strategy, Trade Partner coverage, proposals, and handoff</w:t>
            </w:r>
          </w:p>
        </w:tc>
        <w:tc>
          <w:tcPr>
            <w:tcW w:w="3293" w:type="dxa"/>
            <w:tcBorders/>
            <w:shd w:fill="FFFFFF" w:val="clear"/>
            <w:vAlign w:val="center"/>
          </w:tcPr>
          <w:p>
            <w:pPr>
              <w:pStyle w:val="Normal"/>
              <w:spacing w:before="0" w:after="40"/>
              <w:rPr/>
            </w:pPr>
            <w:r>
              <w:rPr>
                <w:b w:val="false"/>
                <w:color w:val="000000"/>
                <w:sz w:val="17"/>
              </w:rPr>
              <w:t>CHNAV</w:t>
            </w:r>
          </w:p>
        </w:tc>
      </w:tr>
    </w:tbl>
    <w:p>
      <w:pPr>
        <w:pStyle w:val="Normal"/>
        <w:spacing w:before="0" w:after="20"/>
        <w:rPr/>
      </w:pPr>
      <w:r>
        <w:rPr/>
      </w:r>
    </w:p>
    <w:p>
      <w:pPr>
        <w:pStyle w:val="Normal"/>
        <w:rPr/>
      </w:pPr>
      <w:r>
        <w:rPr>
          <w:b w:val="false"/>
          <w:color w:val="202723"/>
          <w:sz w:val="21"/>
        </w:rPr>
        <w:t>This EMS connects those manuals, assigns cross-functional handoffs and controls their subordinate procedures, forms, toolbox talks, SDS records and project evidence. A rule belongs in one authoritative manual and is referenced elsewhere; it should not be maintained as conflicting duplicate text.</w:t>
      </w:r>
      <w:r>
        <w:br w:type="page"/>
      </w:r>
    </w:p>
    <w:p>
      <w:pPr>
        <w:pStyle w:val="Heading1"/>
        <w:keepNext w:val="true"/>
        <w:spacing w:before="0" w:after="160"/>
        <w:rPr/>
      </w:pPr>
      <w:r>
        <w:rPr>
          <w:rFonts w:ascii="Mendl Sans Dusk Bold" w:hAnsi="Mendl Sans Dusk Bold"/>
          <w:b/>
          <w:color w:val="386851"/>
          <w:sz w:val="32"/>
        </w:rPr>
        <w:t>Part I - Governance and company doctrine</w:t>
      </w:r>
      <w:r>
        <w:br w:type="page"/>
      </w:r>
    </w:p>
    <w:p>
      <w:pPr>
        <w:pStyle w:val="Heading2"/>
        <w:keepNext w:val="true"/>
        <w:spacing w:before="0" w:after="120"/>
        <w:rPr/>
      </w:pPr>
      <w:r>
        <w:rPr>
          <w:rFonts w:ascii="Mendl Sans Dusk Medium" w:hAnsi="Mendl Sans Dusk Medium"/>
          <w:b w:val="false"/>
          <w:color w:val="628F79"/>
          <w:sz w:val="26"/>
        </w:rPr>
        <w:t>1. Purpose, scope and authority</w:t>
      </w:r>
    </w:p>
    <w:p>
      <w:pPr>
        <w:pStyle w:val="Heading3"/>
        <w:rPr/>
      </w:pPr>
      <w:r>
        <w:rPr>
          <w:rFonts w:ascii="Mendl Sans Dusk Medium" w:hAnsi="Mendl Sans Dusk Medium"/>
          <w:b w:val="false"/>
          <w:color w:val="1E392C"/>
          <w:sz w:val="23"/>
        </w:rPr>
        <w:t>1.1 Purpose</w:t>
      </w:r>
    </w:p>
    <w:p>
      <w:pPr>
        <w:pStyle w:val="Normal"/>
        <w:rPr/>
      </w:pPr>
      <w:r>
        <w:rPr>
          <w:b w:val="false"/>
          <w:color w:val="202723"/>
          <w:sz w:val="21"/>
        </w:rPr>
        <w:t>MH Construction, INC maintains an integrated management system so that opportunity selection, estimating, contracts, project delivery, safety, quality, finance, people, equipment, technology and closeout operate as one connected process.</w:t>
      </w:r>
    </w:p>
    <w:p>
      <w:pPr>
        <w:pStyle w:val="Normal"/>
        <w:rPr/>
      </w:pPr>
      <w:r>
        <w:rPr>
          <w:b w:val="false"/>
          <w:color w:val="202723"/>
          <w:sz w:val="21"/>
        </w:rPr>
        <w:t>The system is designed to:</w:t>
      </w:r>
    </w:p>
    <w:p>
      <w:pPr>
        <w:pStyle w:val="ListBullet"/>
        <w:numPr>
          <w:ilvl w:val="0"/>
          <w:numId w:val="1"/>
        </w:numPr>
        <w:spacing w:lineRule="auto" w:line="276" w:before="0" w:after="80"/>
        <w:ind w:hanging="259" w:start="461"/>
        <w:contextualSpacing/>
        <w:rPr/>
      </w:pPr>
      <w:r>
        <w:rPr>
          <w:b w:val="false"/>
          <w:color w:val="202723"/>
          <w:sz w:val="21"/>
        </w:rPr>
        <w:t>protect employees, the public, clients and the company;</w:t>
      </w:r>
    </w:p>
    <w:p>
      <w:pPr>
        <w:pStyle w:val="ListBullet"/>
        <w:numPr>
          <w:ilvl w:val="0"/>
          <w:numId w:val="1"/>
        </w:numPr>
        <w:spacing w:lineRule="auto" w:line="276" w:before="0" w:after="80"/>
        <w:ind w:hanging="259" w:start="461"/>
        <w:contextualSpacing/>
        <w:rPr/>
      </w:pPr>
      <w:r>
        <w:rPr>
          <w:b w:val="false"/>
          <w:color w:val="202723"/>
          <w:sz w:val="21"/>
        </w:rPr>
        <w:t>deliver predictable scope, schedule, cost, quality and safety outcomes;</w:t>
      </w:r>
    </w:p>
    <w:p>
      <w:pPr>
        <w:pStyle w:val="ListBullet"/>
        <w:numPr>
          <w:ilvl w:val="0"/>
          <w:numId w:val="1"/>
        </w:numPr>
        <w:spacing w:lineRule="auto" w:line="276" w:before="0" w:after="80"/>
        <w:ind w:hanging="259" w:start="461"/>
        <w:contextualSpacing/>
        <w:rPr/>
      </w:pPr>
      <w:r>
        <w:rPr>
          <w:b w:val="false"/>
          <w:color w:val="202723"/>
          <w:sz w:val="21"/>
        </w:rPr>
        <w:t>preserve legal, contractual, licensing, lien, insurance and bonding rights;</w:t>
      </w:r>
    </w:p>
    <w:p>
      <w:pPr>
        <w:pStyle w:val="ListBullet"/>
        <w:numPr>
          <w:ilvl w:val="0"/>
          <w:numId w:val="1"/>
        </w:numPr>
        <w:spacing w:lineRule="auto" w:line="276" w:before="0" w:after="80"/>
        <w:ind w:hanging="259" w:start="461"/>
        <w:contextualSpacing/>
        <w:rPr/>
      </w:pPr>
      <w:r>
        <w:rPr>
          <w:b w:val="false"/>
          <w:color w:val="202723"/>
          <w:sz w:val="21"/>
        </w:rPr>
        <w:t>create reliable evidence of decisions and work performed;</w:t>
      </w:r>
    </w:p>
    <w:p>
      <w:pPr>
        <w:pStyle w:val="ListBullet"/>
        <w:numPr>
          <w:ilvl w:val="0"/>
          <w:numId w:val="1"/>
        </w:numPr>
        <w:spacing w:lineRule="auto" w:line="276" w:before="0" w:after="80"/>
        <w:ind w:hanging="259" w:start="461"/>
        <w:contextualSpacing/>
        <w:rPr/>
      </w:pPr>
      <w:r>
        <w:rPr>
          <w:b w:val="false"/>
          <w:color w:val="202723"/>
          <w:sz w:val="21"/>
        </w:rPr>
        <w:t>support field execution without unnecessary administrative friction;</w:t>
      </w:r>
    </w:p>
    <w:p>
      <w:pPr>
        <w:pStyle w:val="ListBullet"/>
        <w:numPr>
          <w:ilvl w:val="0"/>
          <w:numId w:val="1"/>
        </w:numPr>
        <w:spacing w:lineRule="auto" w:line="276" w:before="0" w:after="80"/>
        <w:ind w:hanging="259" w:start="461"/>
        <w:contextualSpacing/>
        <w:rPr/>
      </w:pPr>
      <w:r>
        <w:rPr>
          <w:b w:val="false"/>
          <w:color w:val="202723"/>
          <w:sz w:val="21"/>
        </w:rPr>
        <w:t>improve through audits, incidents, project lessons and employee feedback.</w:t>
      </w:r>
    </w:p>
    <w:p>
      <w:pPr>
        <w:pStyle w:val="Heading3"/>
        <w:rPr/>
      </w:pPr>
      <w:r>
        <w:rPr>
          <w:rFonts w:ascii="Mendl Sans Dusk Medium" w:hAnsi="Mendl Sans Dusk Medium"/>
          <w:b w:val="false"/>
          <w:color w:val="1E392C"/>
          <w:sz w:val="23"/>
        </w:rPr>
        <w:t>1.2 Scope</w:t>
      </w:r>
    </w:p>
    <w:p>
      <w:pPr>
        <w:pStyle w:val="Normal"/>
        <w:rPr/>
      </w:pPr>
      <w:r>
        <w:rPr>
          <w:b w:val="false"/>
          <w:color w:val="202723"/>
          <w:sz w:val="21"/>
        </w:rPr>
        <w:t>This manual applies to all MH Construction, INC employees, officers, temporary staff and controlled operations. Contract partners and subcontractors must comply with applicable contract requirements, site rules and safety plans. No internal policy changes the legal employment relationship or creates a contractual promise unless approved in writing by authorized leadership.</w:t>
      </w:r>
    </w:p>
    <w:p>
      <w:pPr>
        <w:pStyle w:val="Heading3"/>
        <w:rPr/>
      </w:pPr>
      <w:r>
        <w:rPr>
          <w:rFonts w:ascii="Mendl Sans Dusk Medium" w:hAnsi="Mendl Sans Dusk Medium"/>
          <w:b w:val="false"/>
          <w:color w:val="1E392C"/>
          <w:sz w:val="23"/>
        </w:rPr>
        <w:t>1.3 Order of precedence</w:t>
      </w:r>
    </w:p>
    <w:p>
      <w:pPr>
        <w:pStyle w:val="Normal"/>
        <w:rPr/>
      </w:pPr>
      <w:r>
        <w:rPr>
          <w:b w:val="false"/>
          <w:color w:val="202723"/>
          <w:sz w:val="21"/>
        </w:rPr>
        <w:t>Unless a contract or law requires a different order, conflicts are resolved in this sequence:</w:t>
      </w:r>
    </w:p>
    <w:p>
      <w:pPr>
        <w:pStyle w:val="ListNumber"/>
        <w:numPr>
          <w:ilvl w:val="0"/>
          <w:numId w:val="4"/>
        </w:numPr>
        <w:spacing w:lineRule="auto" w:line="276" w:before="0" w:after="80"/>
        <w:ind w:hanging="259" w:start="461"/>
        <w:contextualSpacing/>
        <w:rPr/>
      </w:pPr>
      <w:r>
        <w:rPr>
          <w:b w:val="false"/>
          <w:color w:val="202723"/>
          <w:sz w:val="21"/>
        </w:rPr>
        <w:t>Applicable law, regulation and authority having jurisdiction.</w:t>
      </w:r>
    </w:p>
    <w:p>
      <w:pPr>
        <w:pStyle w:val="ListNumber"/>
        <w:numPr>
          <w:ilvl w:val="0"/>
          <w:numId w:val="4"/>
        </w:numPr>
        <w:spacing w:lineRule="auto" w:line="276" w:before="0" w:after="80"/>
        <w:ind w:hanging="259" w:start="461"/>
        <w:contextualSpacing/>
        <w:rPr/>
      </w:pPr>
      <w:r>
        <w:rPr>
          <w:b w:val="false"/>
          <w:color w:val="202723"/>
          <w:sz w:val="21"/>
        </w:rPr>
        <w:t>Approved engineered design and manufacturer instructions.</w:t>
      </w:r>
    </w:p>
    <w:p>
      <w:pPr>
        <w:pStyle w:val="ListNumber"/>
        <w:numPr>
          <w:ilvl w:val="0"/>
          <w:numId w:val="4"/>
        </w:numPr>
        <w:spacing w:lineRule="auto" w:line="276" w:before="0" w:after="80"/>
        <w:ind w:hanging="259" w:start="461"/>
        <w:contextualSpacing/>
        <w:rPr/>
      </w:pPr>
      <w:r>
        <w:rPr>
          <w:b w:val="false"/>
          <w:color w:val="202723"/>
          <w:sz w:val="21"/>
        </w:rPr>
        <w:t>Executed owner contract and incorporated contract documents.</w:t>
      </w:r>
    </w:p>
    <w:p>
      <w:pPr>
        <w:pStyle w:val="ListNumber"/>
        <w:numPr>
          <w:ilvl w:val="0"/>
          <w:numId w:val="4"/>
        </w:numPr>
        <w:spacing w:lineRule="auto" w:line="276" w:before="0" w:after="80"/>
        <w:ind w:hanging="259" w:start="461"/>
        <w:contextualSpacing/>
        <w:rPr/>
      </w:pPr>
      <w:r>
        <w:rPr>
          <w:b w:val="false"/>
          <w:color w:val="202723"/>
          <w:sz w:val="21"/>
        </w:rPr>
        <w:t>Executed subcontract or purchase order.</w:t>
      </w:r>
    </w:p>
    <w:p>
      <w:pPr>
        <w:pStyle w:val="ListNumber"/>
        <w:numPr>
          <w:ilvl w:val="0"/>
          <w:numId w:val="4"/>
        </w:numPr>
        <w:spacing w:lineRule="auto" w:line="276" w:before="0" w:after="80"/>
        <w:ind w:hanging="259" w:start="461"/>
        <w:contextualSpacing/>
        <w:rPr/>
      </w:pPr>
      <w:r>
        <w:rPr>
          <w:b w:val="false"/>
          <w:color w:val="202723"/>
          <w:sz w:val="21"/>
        </w:rPr>
        <w:t>Project-specific plan, including the SSSP, quality plan and logistics plan.</w:t>
      </w:r>
    </w:p>
    <w:p>
      <w:pPr>
        <w:pStyle w:val="ListNumber"/>
        <w:numPr>
          <w:ilvl w:val="0"/>
          <w:numId w:val="4"/>
        </w:numPr>
        <w:spacing w:lineRule="auto" w:line="276" w:before="0" w:after="80"/>
        <w:ind w:hanging="259" w:start="461"/>
        <w:contextualSpacing/>
        <w:rPr/>
      </w:pPr>
      <w:r>
        <w:rPr>
          <w:b w:val="false"/>
          <w:color w:val="202723"/>
          <w:sz w:val="21"/>
        </w:rPr>
        <w:t>Approved MH Construction, INC manuals and procedures.</w:t>
      </w:r>
    </w:p>
    <w:p>
      <w:pPr>
        <w:pStyle w:val="ListNumber"/>
        <w:numPr>
          <w:ilvl w:val="0"/>
          <w:numId w:val="4"/>
        </w:numPr>
        <w:spacing w:lineRule="auto" w:line="276" w:before="0" w:after="80"/>
        <w:ind w:hanging="259" w:start="461"/>
        <w:contextualSpacing/>
        <w:rPr/>
      </w:pPr>
      <w:r>
        <w:rPr>
          <w:b w:val="false"/>
          <w:color w:val="202723"/>
          <w:sz w:val="21"/>
        </w:rPr>
        <w:t>Work instructions, checklists, TBTs and quick-reference aids.</w:t>
      </w:r>
    </w:p>
    <w:p>
      <w:pPr>
        <w:pStyle w:val="Normal"/>
        <w:rPr/>
      </w:pPr>
      <w:r>
        <w:rPr>
          <w:b w:val="false"/>
          <w:color w:val="202723"/>
          <w:sz w:val="21"/>
        </w:rPr>
        <w:t>An employee who identifies a conflict must stop the affected decision or task when safety, legality, quality or material cost is at risk and escalate it to the responsible manager.</w:t>
      </w:r>
      <w:r>
        <w:br w:type="page"/>
      </w:r>
    </w:p>
    <w:p>
      <w:pPr>
        <w:pStyle w:val="Heading2"/>
        <w:keepNext w:val="true"/>
        <w:spacing w:before="0" w:after="120"/>
        <w:rPr/>
      </w:pPr>
      <w:r>
        <w:rPr>
          <w:rFonts w:ascii="Mendl Sans Dusk Medium" w:hAnsi="Mendl Sans Dusk Medium"/>
          <w:b w:val="false"/>
          <w:color w:val="628F79"/>
          <w:sz w:val="26"/>
        </w:rPr>
        <w:t>2. Values and operating principles</w:t>
      </w:r>
    </w:p>
    <w:p>
      <w:pPr>
        <w:pStyle w:val="Normal"/>
        <w:rPr/>
      </w:pPr>
      <w:r>
        <w:rPr>
          <w:b w:val="false"/>
          <w:color w:val="202723"/>
          <w:sz w:val="21"/>
        </w:rPr>
        <w:t>MH Construction, INC's stated values - integrity, honesty, professionalism and thoroughness - are translated into operating behavior:</w:t>
      </w:r>
    </w:p>
    <w:p>
      <w:pPr>
        <w:pStyle w:val="ListBullet"/>
        <w:numPr>
          <w:ilvl w:val="0"/>
          <w:numId w:val="1"/>
        </w:numPr>
        <w:spacing w:lineRule="auto" w:line="276" w:before="0" w:after="80"/>
        <w:ind w:hanging="259" w:start="461"/>
        <w:contextualSpacing/>
        <w:rPr/>
      </w:pPr>
      <w:r>
        <w:rPr>
          <w:rFonts w:ascii="Mendl Sans Dusk Bold" w:hAnsi="Mendl Sans Dusk Bold"/>
          <w:b/>
          <w:color w:val="202723"/>
          <w:sz w:val="21"/>
        </w:rPr>
        <w:t>Integrity:</w:t>
      </w:r>
      <w:r>
        <w:rPr>
          <w:b w:val="false"/>
          <w:color w:val="202723"/>
          <w:sz w:val="21"/>
        </w:rPr>
        <w:t xml:space="preserve"> Report facts accurately, including bad news, near misses, forecast losses, defects and missed commitments.</w:t>
      </w:r>
    </w:p>
    <w:p>
      <w:pPr>
        <w:pStyle w:val="ListBullet"/>
        <w:numPr>
          <w:ilvl w:val="0"/>
          <w:numId w:val="1"/>
        </w:numPr>
        <w:spacing w:lineRule="auto" w:line="276" w:before="0" w:after="80"/>
        <w:ind w:hanging="259" w:start="461"/>
        <w:contextualSpacing/>
        <w:rPr/>
      </w:pPr>
      <w:r>
        <w:rPr>
          <w:rFonts w:ascii="Mendl Sans Dusk Bold" w:hAnsi="Mendl Sans Dusk Bold"/>
          <w:b/>
          <w:color w:val="202723"/>
          <w:sz w:val="21"/>
        </w:rPr>
        <w:t>Honesty:</w:t>
      </w:r>
      <w:r>
        <w:rPr>
          <w:b w:val="false"/>
          <w:color w:val="202723"/>
          <w:sz w:val="21"/>
        </w:rPr>
        <w:t xml:space="preserve"> Do not manipulate production, safety, cost, schedule, time, quality or billing records.</w:t>
      </w:r>
    </w:p>
    <w:p>
      <w:pPr>
        <w:pStyle w:val="ListBullet"/>
        <w:numPr>
          <w:ilvl w:val="0"/>
          <w:numId w:val="1"/>
        </w:numPr>
        <w:spacing w:lineRule="auto" w:line="276" w:before="0" w:after="80"/>
        <w:ind w:hanging="259" w:start="461"/>
        <w:contextualSpacing/>
        <w:rPr/>
      </w:pPr>
      <w:r>
        <w:rPr>
          <w:rFonts w:ascii="Mendl Sans Dusk Bold" w:hAnsi="Mendl Sans Dusk Bold"/>
          <w:b/>
          <w:color w:val="202723"/>
          <w:sz w:val="21"/>
        </w:rPr>
        <w:t>Professionalism:</w:t>
      </w:r>
      <w:r>
        <w:rPr>
          <w:b w:val="false"/>
          <w:color w:val="202723"/>
          <w:sz w:val="21"/>
        </w:rPr>
        <w:t xml:space="preserve"> Communicate clearly, respect people, prepare before acting and protect client and company information.</w:t>
      </w:r>
    </w:p>
    <w:p>
      <w:pPr>
        <w:pStyle w:val="ListBullet"/>
        <w:numPr>
          <w:ilvl w:val="0"/>
          <w:numId w:val="1"/>
        </w:numPr>
        <w:spacing w:lineRule="auto" w:line="276" w:before="0" w:after="80"/>
        <w:ind w:hanging="259" w:start="461"/>
        <w:contextualSpacing/>
        <w:rPr/>
      </w:pPr>
      <w:r>
        <w:rPr>
          <w:rFonts w:ascii="Mendl Sans Dusk Bold" w:hAnsi="Mendl Sans Dusk Bold"/>
          <w:b/>
          <w:color w:val="202723"/>
          <w:sz w:val="21"/>
        </w:rPr>
        <w:t>Thoroughness:</w:t>
      </w:r>
      <w:r>
        <w:rPr>
          <w:b w:val="false"/>
          <w:color w:val="202723"/>
          <w:sz w:val="21"/>
        </w:rPr>
        <w:t xml:space="preserve"> Complete the required review, verify critical assumptions and close the loop with evidence.</w:t>
      </w:r>
    </w:p>
    <w:p>
      <w:pPr>
        <w:pStyle w:val="Normal"/>
        <w:rPr/>
      </w:pPr>
      <w:r>
        <w:rPr>
          <w:b w:val="false"/>
          <w:color w:val="202723"/>
          <w:sz w:val="21"/>
        </w:rPr>
        <w:t>The company's relationship philosophy - building for the client, not merely for the dollar - does not waive commercial discipline. A handshake may express trust; only authorized written commitments change scope, price, schedule, risk or contract rights.</w:t>
      </w:r>
    </w:p>
    <w:p>
      <w:pPr>
        <w:pStyle w:val="Heading3"/>
        <w:rPr/>
      </w:pPr>
      <w:r>
        <w:rPr>
          <w:rFonts w:ascii="Mendl Sans Dusk Medium" w:hAnsi="Mendl Sans Dusk Medium"/>
          <w:b w:val="false"/>
          <w:color w:val="1E392C"/>
          <w:sz w:val="23"/>
        </w:rPr>
        <w:t>2.1 Stop, clarify and escalate</w:t>
      </w:r>
    </w:p>
    <w:p>
      <w:pPr>
        <w:pStyle w:val="Normal"/>
        <w:rPr/>
      </w:pPr>
      <w:r>
        <w:rPr>
          <w:b w:val="false"/>
          <w:color w:val="202723"/>
          <w:sz w:val="21"/>
        </w:rPr>
        <w:t>Every person has authority to pause work or a business process when there is a good-faith concern involving imminent danger, illegality, fraud, unethical conduct, material quality failure, cybersecurity compromise or unapproved commercial exposure. Good-faith reporting and stop-work actions will not result in retaliation.</w:t>
      </w:r>
    </w:p>
    <w:p>
      <w:pPr>
        <w:pStyle w:val="Heading3"/>
        <w:rPr/>
      </w:pPr>
      <w:r>
        <w:rPr>
          <w:rFonts w:ascii="Mendl Sans Dusk Medium" w:hAnsi="Mendl Sans Dusk Medium"/>
          <w:b w:val="false"/>
          <w:color w:val="1E392C"/>
          <w:sz w:val="23"/>
        </w:rPr>
        <w:t>2.2 Branded language and regulatory language</w:t>
      </w:r>
    </w:p>
    <w:p>
      <w:pPr>
        <w:pStyle w:val="Normal"/>
        <w:rPr/>
      </w:pPr>
      <w:r>
        <w:rPr>
          <w:b w:val="false"/>
          <w:color w:val="202723"/>
          <w:sz w:val="21"/>
        </w:rPr>
        <w:t>MH Construction, INC may use branded operating terms to reinforce culture. Regulatory, contractual and professional terms must remain intact. “Competent Person,” “Qualified Person,” “Authorized Person,” “Employer,” “Employee,” “Subcontractor,” and other defined terms cannot be replaced in a way that changes their legal meaning.</w:t>
      </w:r>
    </w:p>
    <w:p>
      <w:pPr>
        <w:pStyle w:val="Normal"/>
        <w:rPr/>
      </w:pPr>
      <w:r>
        <w:rPr>
          <w:b w:val="false"/>
          <w:color w:val="202723"/>
          <w:sz w:val="21"/>
        </w:rPr>
        <w:t>The organization chart shall include a crosswalk from every branded title to the person's legal title, supervisor, delegated authority and backup.</w:t>
      </w:r>
      <w:r>
        <w:br w:type="page"/>
      </w:r>
    </w:p>
    <w:p>
      <w:pPr>
        <w:pStyle w:val="Heading2"/>
        <w:keepNext w:val="true"/>
        <w:spacing w:before="0" w:after="120"/>
        <w:rPr/>
      </w:pPr>
      <w:r>
        <w:rPr>
          <w:rFonts w:ascii="Mendl Sans Dusk Medium" w:hAnsi="Mendl Sans Dusk Medium"/>
          <w:b w:val="false"/>
          <w:color w:val="628F79"/>
          <w:sz w:val="26"/>
        </w:rPr>
        <w:t>3. Governance structure</w:t>
      </w:r>
    </w:p>
    <w:p>
      <w:pPr>
        <w:pStyle w:val="Heading3"/>
        <w:rPr/>
      </w:pPr>
      <w:r>
        <w:rPr>
          <w:rFonts w:ascii="Mendl Sans Dusk Medium" w:hAnsi="Mendl Sans Dusk Medium"/>
          <w:b w:val="false"/>
          <w:color w:val="1E392C"/>
          <w:sz w:val="23"/>
        </w:rPr>
        <w:t>3.1 Core responsibilities</w:t>
      </w:r>
    </w:p>
    <w:tbl>
      <w:tblPr>
        <w:tblStyle w:val="TableGrid"/>
        <w:tblW w:w="9878"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4051"/>
        <w:gridCol w:w="4053"/>
        <w:gridCol w:w="1774"/>
      </w:tblGrid>
      <w:tr>
        <w:trPr/>
        <w:tc>
          <w:tcPr>
            <w:tcW w:w="4051" w:type="dxa"/>
            <w:tcBorders/>
            <w:shd w:fill="386851" w:val="clear"/>
            <w:vAlign w:val="center"/>
          </w:tcPr>
          <w:p>
            <w:pPr>
              <w:pStyle w:val="Normal"/>
              <w:spacing w:before="0" w:after="40"/>
              <w:rPr/>
            </w:pPr>
            <w:r>
              <w:rPr>
                <w:b/>
                <w:color w:val="FFFFFF"/>
                <w:sz w:val="17"/>
              </w:rPr>
              <w:t>Canonical Position</w:t>
            </w:r>
          </w:p>
        </w:tc>
        <w:tc>
          <w:tcPr>
            <w:tcW w:w="4053" w:type="dxa"/>
            <w:tcBorders/>
            <w:shd w:fill="386851" w:val="clear"/>
            <w:vAlign w:val="center"/>
          </w:tcPr>
          <w:p>
            <w:pPr>
              <w:pStyle w:val="Normal"/>
              <w:spacing w:before="0" w:after="40"/>
              <w:rPr/>
            </w:pPr>
            <w:r>
              <w:rPr>
                <w:b/>
                <w:color w:val="FFFFFF"/>
                <w:sz w:val="17"/>
              </w:rPr>
              <w:t>Formal Report</w:t>
            </w:r>
          </w:p>
        </w:tc>
        <w:tc>
          <w:tcPr>
            <w:tcW w:w="1774" w:type="dxa"/>
            <w:tcBorders/>
            <w:shd w:fill="386851" w:val="clear"/>
            <w:vAlign w:val="center"/>
          </w:tcPr>
          <w:p>
            <w:pPr>
              <w:pStyle w:val="Normal"/>
              <w:spacing w:before="0" w:after="40"/>
              <w:rPr/>
            </w:pPr>
            <w:r>
              <w:rPr>
                <w:b/>
                <w:color w:val="FFFFFF"/>
                <w:sz w:val="17"/>
              </w:rPr>
              <w:t>Executive Accountability</w:t>
            </w:r>
          </w:p>
        </w:tc>
      </w:tr>
      <w:tr>
        <w:trPr/>
        <w:tc>
          <w:tcPr>
            <w:tcW w:w="4051" w:type="dxa"/>
            <w:tcBorders/>
            <w:shd w:fill="F4F1EC" w:val="clear"/>
            <w:vAlign w:val="center"/>
          </w:tcPr>
          <w:p>
            <w:pPr>
              <w:pStyle w:val="Normal"/>
              <w:spacing w:before="0" w:after="40"/>
              <w:rPr/>
            </w:pPr>
            <w:r>
              <w:rPr>
                <w:b w:val="false"/>
                <w:color w:val="000000"/>
                <w:sz w:val="17"/>
              </w:rPr>
              <w:t>CEO</w:t>
            </w:r>
          </w:p>
        </w:tc>
        <w:tc>
          <w:tcPr>
            <w:tcW w:w="4053" w:type="dxa"/>
            <w:tcBorders/>
            <w:shd w:fill="F4F1EC" w:val="clear"/>
            <w:vAlign w:val="center"/>
          </w:tcPr>
          <w:p>
            <w:pPr>
              <w:pStyle w:val="Normal"/>
              <w:spacing w:before="0" w:after="40"/>
              <w:rPr/>
            </w:pPr>
            <w:r>
              <w:rPr>
                <w:b w:val="false"/>
                <w:color w:val="000000"/>
                <w:sz w:val="17"/>
              </w:rPr>
              <w:t>Ownership</w:t>
            </w:r>
          </w:p>
        </w:tc>
        <w:tc>
          <w:tcPr>
            <w:tcW w:w="1774" w:type="dxa"/>
            <w:tcBorders/>
            <w:shd w:fill="F4F1EC" w:val="clear"/>
            <w:vAlign w:val="center"/>
          </w:tcPr>
          <w:p>
            <w:pPr>
              <w:pStyle w:val="Normal"/>
              <w:spacing w:before="0" w:after="40"/>
              <w:rPr/>
            </w:pPr>
            <w:r>
              <w:rPr>
                <w:b w:val="false"/>
                <w:color w:val="000000"/>
                <w:sz w:val="17"/>
              </w:rPr>
              <w:t>Strategy, culture, material commitments, policy approval, enterprise risk tolerance, final executive approval, and override authority.</w:t>
            </w:r>
          </w:p>
        </w:tc>
      </w:tr>
      <w:tr>
        <w:trPr/>
        <w:tc>
          <w:tcPr>
            <w:tcW w:w="4051" w:type="dxa"/>
            <w:tcBorders/>
            <w:shd w:fill="FFFFFF" w:val="clear"/>
            <w:vAlign w:val="center"/>
          </w:tcPr>
          <w:p>
            <w:pPr>
              <w:pStyle w:val="Normal"/>
              <w:spacing w:before="0" w:after="40"/>
              <w:rPr/>
            </w:pPr>
            <w:r>
              <w:rPr>
                <w:b w:val="false"/>
                <w:color w:val="000000"/>
                <w:sz w:val="17"/>
              </w:rPr>
              <w:t>COO</w:t>
            </w:r>
          </w:p>
        </w:tc>
        <w:tc>
          <w:tcPr>
            <w:tcW w:w="4053" w:type="dxa"/>
            <w:tcBorders/>
            <w:shd w:fill="FFFFFF" w:val="clear"/>
            <w:vAlign w:val="center"/>
          </w:tcPr>
          <w:p>
            <w:pPr>
              <w:pStyle w:val="Normal"/>
              <w:spacing w:before="0" w:after="40"/>
              <w:rPr/>
            </w:pPr>
            <w:r>
              <w:rPr>
                <w:b w:val="false"/>
                <w:color w:val="000000"/>
                <w:sz w:val="17"/>
              </w:rPr>
              <w:t>CEO</w:t>
            </w:r>
          </w:p>
        </w:tc>
        <w:tc>
          <w:tcPr>
            <w:tcW w:w="1774" w:type="dxa"/>
            <w:tcBorders/>
            <w:shd w:fill="FFFFFF" w:val="clear"/>
            <w:vAlign w:val="center"/>
          </w:tcPr>
          <w:p>
            <w:pPr>
              <w:pStyle w:val="Normal"/>
              <w:spacing w:before="0" w:after="40"/>
              <w:rPr/>
            </w:pPr>
            <w:r>
              <w:rPr>
                <w:b w:val="false"/>
                <w:color w:val="000000"/>
                <w:sz w:val="17"/>
              </w:rPr>
              <w:t>Enterprise execution and direct operating authority over CHENG, CHNAV, project delivery, field operations, fleet, warehouse, and IT execution.</w:t>
            </w:r>
          </w:p>
        </w:tc>
      </w:tr>
      <w:tr>
        <w:trPr/>
        <w:tc>
          <w:tcPr>
            <w:tcW w:w="4051" w:type="dxa"/>
            <w:tcBorders/>
            <w:shd w:fill="F4F1EC" w:val="clear"/>
            <w:vAlign w:val="center"/>
          </w:tcPr>
          <w:p>
            <w:pPr>
              <w:pStyle w:val="Normal"/>
              <w:spacing w:before="0" w:after="40"/>
              <w:rPr/>
            </w:pPr>
            <w:r>
              <w:rPr>
                <w:b w:val="false"/>
                <w:color w:val="000000"/>
                <w:sz w:val="17"/>
              </w:rPr>
              <w:t>CHENG</w:t>
            </w:r>
          </w:p>
        </w:tc>
        <w:tc>
          <w:tcPr>
            <w:tcW w:w="4053" w:type="dxa"/>
            <w:tcBorders/>
            <w:shd w:fill="F4F1EC" w:val="clear"/>
            <w:vAlign w:val="center"/>
          </w:tcPr>
          <w:p>
            <w:pPr>
              <w:pStyle w:val="Normal"/>
              <w:spacing w:before="0" w:after="40"/>
              <w:rPr/>
            </w:pPr>
            <w:r>
              <w:rPr>
                <w:b w:val="false"/>
                <w:color w:val="000000"/>
                <w:sz w:val="17"/>
              </w:rPr>
              <w:t>COO</w:t>
            </w:r>
          </w:p>
        </w:tc>
        <w:tc>
          <w:tcPr>
            <w:tcW w:w="1774" w:type="dxa"/>
            <w:tcBorders/>
            <w:shd w:fill="F4F1EC" w:val="clear"/>
            <w:vAlign w:val="center"/>
          </w:tcPr>
          <w:p>
            <w:pPr>
              <w:pStyle w:val="Normal"/>
              <w:spacing w:before="0" w:after="40"/>
              <w:rPr/>
            </w:pPr>
            <w:r>
              <w:rPr>
                <w:b w:val="false"/>
                <w:color w:val="000000"/>
                <w:sz w:val="17"/>
              </w:rPr>
              <w:t>Safety, Marketing, stakeholder satisfaction during delivery, brand control, mhc-gc.com, and associated digital assets.</w:t>
            </w:r>
          </w:p>
        </w:tc>
      </w:tr>
      <w:tr>
        <w:trPr/>
        <w:tc>
          <w:tcPr>
            <w:tcW w:w="4051" w:type="dxa"/>
            <w:tcBorders/>
            <w:shd w:fill="FFFFFF" w:val="clear"/>
            <w:vAlign w:val="center"/>
          </w:tcPr>
          <w:p>
            <w:pPr>
              <w:pStyle w:val="Normal"/>
              <w:spacing w:before="0" w:after="40"/>
              <w:rPr/>
            </w:pPr>
            <w:r>
              <w:rPr>
                <w:b w:val="false"/>
                <w:color w:val="000000"/>
                <w:sz w:val="17"/>
              </w:rPr>
              <w:t>CHNAV</w:t>
            </w:r>
          </w:p>
        </w:tc>
        <w:tc>
          <w:tcPr>
            <w:tcW w:w="4053" w:type="dxa"/>
            <w:tcBorders/>
            <w:shd w:fill="FFFFFF" w:val="clear"/>
            <w:vAlign w:val="center"/>
          </w:tcPr>
          <w:p>
            <w:pPr>
              <w:pStyle w:val="Normal"/>
              <w:spacing w:before="0" w:after="40"/>
              <w:rPr/>
            </w:pPr>
            <w:r>
              <w:rPr>
                <w:b w:val="false"/>
                <w:color w:val="000000"/>
                <w:sz w:val="17"/>
              </w:rPr>
              <w:t>COO</w:t>
            </w:r>
          </w:p>
        </w:tc>
        <w:tc>
          <w:tcPr>
            <w:tcW w:w="1774" w:type="dxa"/>
            <w:tcBorders/>
            <w:shd w:fill="FFFFFF" w:val="clear"/>
            <w:vAlign w:val="center"/>
          </w:tcPr>
          <w:p>
            <w:pPr>
              <w:pStyle w:val="Normal"/>
              <w:spacing w:before="0" w:after="40"/>
              <w:rPr/>
            </w:pPr>
            <w:r>
              <w:rPr>
                <w:b w:val="false"/>
                <w:color w:val="000000"/>
                <w:sz w:val="17"/>
              </w:rPr>
              <w:t>Sales, Estimation, BidPilot, pursuit qualification, estimating, proposals, and preconstruction workflows.</w:t>
            </w:r>
          </w:p>
        </w:tc>
      </w:tr>
      <w:tr>
        <w:trPr/>
        <w:tc>
          <w:tcPr>
            <w:tcW w:w="4051" w:type="dxa"/>
            <w:tcBorders/>
            <w:shd w:fill="F4F1EC" w:val="clear"/>
            <w:vAlign w:val="center"/>
          </w:tcPr>
          <w:p>
            <w:pPr>
              <w:pStyle w:val="Normal"/>
              <w:spacing w:before="0" w:after="40"/>
              <w:rPr/>
            </w:pPr>
            <w:r>
              <w:rPr>
                <w:b w:val="false"/>
                <w:color w:val="000000"/>
                <w:sz w:val="17"/>
              </w:rPr>
              <w:t>Chief Superintendent</w:t>
            </w:r>
          </w:p>
        </w:tc>
        <w:tc>
          <w:tcPr>
            <w:tcW w:w="4053" w:type="dxa"/>
            <w:tcBorders/>
            <w:shd w:fill="F4F1EC" w:val="clear"/>
            <w:vAlign w:val="center"/>
          </w:tcPr>
          <w:p>
            <w:pPr>
              <w:pStyle w:val="Normal"/>
              <w:spacing w:before="0" w:after="40"/>
              <w:rPr/>
            </w:pPr>
            <w:r>
              <w:rPr>
                <w:b w:val="false"/>
                <w:color w:val="000000"/>
                <w:sz w:val="17"/>
              </w:rPr>
              <w:t>COO</w:t>
            </w:r>
          </w:p>
        </w:tc>
        <w:tc>
          <w:tcPr>
            <w:tcW w:w="1774" w:type="dxa"/>
            <w:tcBorders/>
            <w:shd w:fill="F4F1EC" w:val="clear"/>
            <w:vAlign w:val="center"/>
          </w:tcPr>
          <w:p>
            <w:pPr>
              <w:pStyle w:val="Normal"/>
              <w:spacing w:before="0" w:after="40"/>
              <w:rPr/>
            </w:pPr>
            <w:r>
              <w:rPr>
                <w:b w:val="false"/>
                <w:color w:val="000000"/>
                <w:sz w:val="17"/>
              </w:rPr>
              <w:t>Field execution, superintendents, foremen, operators, assignments, deployment, logistics priority, and production discipline.</w:t>
            </w:r>
          </w:p>
        </w:tc>
      </w:tr>
      <w:tr>
        <w:trPr/>
        <w:tc>
          <w:tcPr>
            <w:tcW w:w="4051" w:type="dxa"/>
            <w:tcBorders/>
            <w:shd w:fill="FFFFFF" w:val="clear"/>
            <w:vAlign w:val="center"/>
          </w:tcPr>
          <w:p>
            <w:pPr>
              <w:pStyle w:val="Normal"/>
              <w:spacing w:before="0" w:after="40"/>
              <w:rPr/>
            </w:pPr>
            <w:r>
              <w:rPr>
                <w:b w:val="false"/>
                <w:color w:val="000000"/>
                <w:sz w:val="17"/>
              </w:rPr>
              <w:t>Fleet Commander</w:t>
            </w:r>
          </w:p>
        </w:tc>
        <w:tc>
          <w:tcPr>
            <w:tcW w:w="4053" w:type="dxa"/>
            <w:tcBorders/>
            <w:shd w:fill="FFFFFF" w:val="clear"/>
            <w:vAlign w:val="center"/>
          </w:tcPr>
          <w:p>
            <w:pPr>
              <w:pStyle w:val="Normal"/>
              <w:spacing w:before="0" w:after="40"/>
              <w:rPr/>
            </w:pPr>
            <w:r>
              <w:rPr>
                <w:b w:val="false"/>
                <w:color w:val="000000"/>
                <w:sz w:val="17"/>
              </w:rPr>
              <w:t>COO</w:t>
            </w:r>
          </w:p>
        </w:tc>
        <w:tc>
          <w:tcPr>
            <w:tcW w:w="1774" w:type="dxa"/>
            <w:tcBorders/>
            <w:shd w:fill="FFFFFF" w:val="clear"/>
            <w:vAlign w:val="center"/>
          </w:tcPr>
          <w:p>
            <w:pPr>
              <w:pStyle w:val="Normal"/>
              <w:spacing w:before="0" w:after="40"/>
              <w:rPr/>
            </w:pPr>
            <w:r>
              <w:rPr>
                <w:b w:val="false"/>
                <w:color w:val="000000"/>
                <w:sz w:val="17"/>
              </w:rPr>
              <w:t>Vehicles, trailers, maintenance, registrations, availability, maintenance work orders, and fleet asset records.</w:t>
            </w:r>
          </w:p>
        </w:tc>
      </w:tr>
      <w:tr>
        <w:trPr/>
        <w:tc>
          <w:tcPr>
            <w:tcW w:w="4051" w:type="dxa"/>
            <w:tcBorders/>
            <w:shd w:fill="F4F1EC" w:val="clear"/>
            <w:vAlign w:val="center"/>
          </w:tcPr>
          <w:p>
            <w:pPr>
              <w:pStyle w:val="Normal"/>
              <w:spacing w:before="0" w:after="40"/>
              <w:rPr/>
            </w:pPr>
            <w:r>
              <w:rPr>
                <w:b w:val="false"/>
                <w:color w:val="000000"/>
                <w:sz w:val="17"/>
              </w:rPr>
              <w:t>Warehouse Manager</w:t>
            </w:r>
          </w:p>
        </w:tc>
        <w:tc>
          <w:tcPr>
            <w:tcW w:w="4053" w:type="dxa"/>
            <w:tcBorders/>
            <w:shd w:fill="F4F1EC" w:val="clear"/>
            <w:vAlign w:val="center"/>
          </w:tcPr>
          <w:p>
            <w:pPr>
              <w:pStyle w:val="Normal"/>
              <w:spacing w:before="0" w:after="40"/>
              <w:rPr/>
            </w:pPr>
            <w:r>
              <w:rPr>
                <w:b w:val="false"/>
                <w:color w:val="000000"/>
                <w:sz w:val="17"/>
              </w:rPr>
              <w:t>COO</w:t>
            </w:r>
          </w:p>
        </w:tc>
        <w:tc>
          <w:tcPr>
            <w:tcW w:w="1774" w:type="dxa"/>
            <w:tcBorders/>
            <w:shd w:fill="F4F1EC" w:val="clear"/>
            <w:vAlign w:val="center"/>
          </w:tcPr>
          <w:p>
            <w:pPr>
              <w:pStyle w:val="Normal"/>
              <w:spacing w:before="0" w:after="40"/>
              <w:rPr/>
            </w:pPr>
            <w:r>
              <w:rPr>
                <w:b w:val="false"/>
                <w:color w:val="000000"/>
                <w:sz w:val="17"/>
              </w:rPr>
              <w:t>Tools, consumables, safety gear, barcode custody, issue/return control, and warehouse inventory accuracy.</w:t>
            </w:r>
          </w:p>
        </w:tc>
      </w:tr>
      <w:tr>
        <w:trPr/>
        <w:tc>
          <w:tcPr>
            <w:tcW w:w="4051" w:type="dxa"/>
            <w:tcBorders/>
            <w:shd w:fill="FFFFFF" w:val="clear"/>
            <w:vAlign w:val="center"/>
          </w:tcPr>
          <w:p>
            <w:pPr>
              <w:pStyle w:val="Normal"/>
              <w:spacing w:before="0" w:after="40"/>
              <w:rPr/>
            </w:pPr>
            <w:r>
              <w:rPr>
                <w:b w:val="false"/>
                <w:color w:val="000000"/>
                <w:sz w:val="17"/>
              </w:rPr>
              <w:t>IT Specialist</w:t>
            </w:r>
          </w:p>
        </w:tc>
        <w:tc>
          <w:tcPr>
            <w:tcW w:w="4053" w:type="dxa"/>
            <w:tcBorders/>
            <w:shd w:fill="FFFFFF" w:val="clear"/>
            <w:vAlign w:val="center"/>
          </w:tcPr>
          <w:p>
            <w:pPr>
              <w:pStyle w:val="Normal"/>
              <w:spacing w:before="0" w:after="40"/>
              <w:rPr/>
            </w:pPr>
            <w:r>
              <w:rPr>
                <w:b w:val="false"/>
                <w:color w:val="000000"/>
                <w:sz w:val="17"/>
              </w:rPr>
              <w:t>COO</w:t>
            </w:r>
          </w:p>
        </w:tc>
        <w:tc>
          <w:tcPr>
            <w:tcW w:w="1774" w:type="dxa"/>
            <w:tcBorders/>
            <w:shd w:fill="FFFFFF" w:val="clear"/>
            <w:vAlign w:val="center"/>
          </w:tcPr>
          <w:p>
            <w:pPr>
              <w:pStyle w:val="Normal"/>
              <w:spacing w:before="0" w:after="40"/>
              <w:rPr/>
            </w:pPr>
            <w:r>
              <w:rPr>
                <w:b w:val="false"/>
                <w:color w:val="000000"/>
                <w:sz w:val="17"/>
              </w:rPr>
              <w:t>Server, identities, devices, backups, dashboards, cybersecurity, and technical support to CHENG and CHNAV.</w:t>
            </w:r>
          </w:p>
        </w:tc>
      </w:tr>
      <w:tr>
        <w:trPr/>
        <w:tc>
          <w:tcPr>
            <w:tcW w:w="4051" w:type="dxa"/>
            <w:tcBorders/>
            <w:shd w:fill="F4F1EC" w:val="clear"/>
            <w:vAlign w:val="center"/>
          </w:tcPr>
          <w:p>
            <w:pPr>
              <w:pStyle w:val="Normal"/>
              <w:spacing w:before="0" w:after="40"/>
              <w:rPr/>
            </w:pPr>
            <w:r>
              <w:rPr>
                <w:b w:val="false"/>
                <w:color w:val="000000"/>
                <w:sz w:val="17"/>
              </w:rPr>
              <w:t>Project Manager</w:t>
            </w:r>
          </w:p>
        </w:tc>
        <w:tc>
          <w:tcPr>
            <w:tcW w:w="4053" w:type="dxa"/>
            <w:tcBorders/>
            <w:shd w:fill="F4F1EC" w:val="clear"/>
            <w:vAlign w:val="center"/>
          </w:tcPr>
          <w:p>
            <w:pPr>
              <w:pStyle w:val="Normal"/>
              <w:spacing w:before="0" w:after="40"/>
              <w:rPr/>
            </w:pPr>
            <w:r>
              <w:rPr>
                <w:b w:val="false"/>
                <w:color w:val="000000"/>
                <w:sz w:val="17"/>
              </w:rPr>
              <w:t>COO</w:t>
            </w:r>
          </w:p>
        </w:tc>
        <w:tc>
          <w:tcPr>
            <w:tcW w:w="1774" w:type="dxa"/>
            <w:tcBorders/>
            <w:shd w:fill="F4F1EC" w:val="clear"/>
            <w:vAlign w:val="center"/>
          </w:tcPr>
          <w:p>
            <w:pPr>
              <w:pStyle w:val="Normal"/>
              <w:spacing w:before="0" w:after="40"/>
              <w:rPr/>
            </w:pPr>
            <w:r>
              <w:rPr>
                <w:b w:val="false"/>
                <w:color w:val="000000"/>
                <w:sz w:val="17"/>
              </w:rPr>
              <w:t>Contract, client, budget, commitments, change control, forecast, schedule, quality, closeout, and project outcome.</w:t>
            </w:r>
          </w:p>
        </w:tc>
      </w:tr>
      <w:tr>
        <w:trPr/>
        <w:tc>
          <w:tcPr>
            <w:tcW w:w="4051" w:type="dxa"/>
            <w:tcBorders/>
            <w:shd w:fill="FFFFFF" w:val="clear"/>
            <w:vAlign w:val="center"/>
          </w:tcPr>
          <w:p>
            <w:pPr>
              <w:pStyle w:val="Normal"/>
              <w:spacing w:before="0" w:after="40"/>
              <w:rPr/>
            </w:pPr>
            <w:r>
              <w:rPr>
                <w:b w:val="false"/>
                <w:color w:val="000000"/>
                <w:sz w:val="17"/>
              </w:rPr>
              <w:t>Superintendent</w:t>
            </w:r>
          </w:p>
        </w:tc>
        <w:tc>
          <w:tcPr>
            <w:tcW w:w="4053" w:type="dxa"/>
            <w:tcBorders/>
            <w:shd w:fill="FFFFFF" w:val="clear"/>
            <w:vAlign w:val="center"/>
          </w:tcPr>
          <w:p>
            <w:pPr>
              <w:pStyle w:val="Normal"/>
              <w:spacing w:before="0" w:after="40"/>
              <w:rPr/>
            </w:pPr>
            <w:r>
              <w:rPr>
                <w:b w:val="false"/>
                <w:color w:val="000000"/>
                <w:sz w:val="17"/>
              </w:rPr>
              <w:t>Chief Superintendent</w:t>
            </w:r>
          </w:p>
        </w:tc>
        <w:tc>
          <w:tcPr>
            <w:tcW w:w="1774" w:type="dxa"/>
            <w:tcBorders/>
            <w:shd w:fill="FFFFFF" w:val="clear"/>
            <w:vAlign w:val="center"/>
          </w:tcPr>
          <w:p>
            <w:pPr>
              <w:pStyle w:val="Normal"/>
              <w:spacing w:before="0" w:after="40"/>
              <w:rPr/>
            </w:pPr>
            <w:r>
              <w:rPr>
                <w:b w:val="false"/>
                <w:color w:val="000000"/>
                <w:sz w:val="17"/>
              </w:rPr>
              <w:t>Field planning, coordination, daily execution, safety, quality, logistics, and production evidence.</w:t>
            </w:r>
          </w:p>
        </w:tc>
      </w:tr>
      <w:tr>
        <w:trPr/>
        <w:tc>
          <w:tcPr>
            <w:tcW w:w="4051" w:type="dxa"/>
            <w:tcBorders/>
            <w:shd w:fill="F4F1EC" w:val="clear"/>
            <w:vAlign w:val="center"/>
          </w:tcPr>
          <w:p>
            <w:pPr>
              <w:pStyle w:val="Normal"/>
              <w:spacing w:before="0" w:after="40"/>
              <w:rPr/>
            </w:pPr>
            <w:r>
              <w:rPr>
                <w:b w:val="false"/>
                <w:color w:val="000000"/>
                <w:sz w:val="17"/>
              </w:rPr>
              <w:t>Foreman and Operators</w:t>
            </w:r>
          </w:p>
        </w:tc>
        <w:tc>
          <w:tcPr>
            <w:tcW w:w="4053" w:type="dxa"/>
            <w:tcBorders/>
            <w:shd w:fill="F4F1EC" w:val="clear"/>
            <w:vAlign w:val="center"/>
          </w:tcPr>
          <w:p>
            <w:pPr>
              <w:pStyle w:val="Normal"/>
              <w:spacing w:before="0" w:after="40"/>
              <w:rPr/>
            </w:pPr>
            <w:r>
              <w:rPr>
                <w:b w:val="false"/>
                <w:color w:val="000000"/>
                <w:sz w:val="17"/>
              </w:rPr>
              <w:t>Chief Superintendent through assigned Superintendent</w:t>
            </w:r>
          </w:p>
        </w:tc>
        <w:tc>
          <w:tcPr>
            <w:tcW w:w="1774" w:type="dxa"/>
            <w:tcBorders/>
            <w:shd w:fill="F4F1EC" w:val="clear"/>
            <w:vAlign w:val="center"/>
          </w:tcPr>
          <w:p>
            <w:pPr>
              <w:pStyle w:val="Normal"/>
              <w:spacing w:before="0" w:after="40"/>
              <w:rPr/>
            </w:pPr>
            <w:r>
              <w:rPr>
                <w:b w:val="false"/>
                <w:color w:val="000000"/>
                <w:sz w:val="17"/>
              </w:rPr>
              <w:t>Crew execution, inspections, asset condition reporting, and point-of-work compliance.</w:t>
            </w:r>
          </w:p>
        </w:tc>
      </w:tr>
    </w:tbl>
    <w:p>
      <w:pPr>
        <w:pStyle w:val="Normal"/>
        <w:spacing w:before="0" w:after="20"/>
        <w:rPr/>
      </w:pPr>
      <w:r>
        <w:rPr/>
      </w:r>
    </w:p>
    <w:p>
      <w:pPr>
        <w:pStyle w:val="Normal"/>
        <w:rPr/>
      </w:pPr>
      <w:r>
        <w:rPr>
          <w:b w:val="false"/>
          <w:color w:val="202723"/>
          <w:sz w:val="21"/>
        </w:rPr>
        <w:t>One person may fill multiple roles in a smaller organization. Combined roles do not eliminate segregation-of-duties controls. No person should request, approve, receive and pay the same purchase without independent review.</w:t>
      </w:r>
    </w:p>
    <w:p>
      <w:pPr>
        <w:pStyle w:val="Heading3"/>
        <w:rPr/>
      </w:pPr>
      <w:r>
        <w:rPr>
          <w:rFonts w:ascii="Mendl Sans Dusk Medium" w:hAnsi="Mendl Sans Dusk Medium"/>
          <w:b w:val="false"/>
          <w:color w:val="1E392C"/>
          <w:sz w:val="23"/>
        </w:rPr>
        <w:t>3.2 Delegation of authority</w:t>
      </w:r>
    </w:p>
    <w:p>
      <w:pPr>
        <w:pStyle w:val="Normal"/>
        <w:rPr/>
      </w:pPr>
      <w:r>
        <w:rPr>
          <w:b w:val="false"/>
          <w:color w:val="202723"/>
          <w:sz w:val="21"/>
        </w:rPr>
        <w:t>The company shall maintain a separate Approval Authority Matrix containing current monetary and non-monetary limits. At minimum, the matrix covers:</w:t>
      </w:r>
    </w:p>
    <w:p>
      <w:pPr>
        <w:pStyle w:val="ListBullet"/>
        <w:numPr>
          <w:ilvl w:val="0"/>
          <w:numId w:val="1"/>
        </w:numPr>
        <w:spacing w:lineRule="auto" w:line="276" w:before="0" w:after="80"/>
        <w:ind w:hanging="259" w:start="461"/>
        <w:contextualSpacing/>
        <w:rPr/>
      </w:pPr>
      <w:r>
        <w:rPr>
          <w:b w:val="false"/>
          <w:color w:val="202723"/>
          <w:sz w:val="21"/>
        </w:rPr>
        <w:t>proposals, bid bonds and bid submissions;</w:t>
      </w:r>
    </w:p>
    <w:p>
      <w:pPr>
        <w:pStyle w:val="ListBullet"/>
        <w:numPr>
          <w:ilvl w:val="0"/>
          <w:numId w:val="1"/>
        </w:numPr>
        <w:spacing w:lineRule="auto" w:line="276" w:before="0" w:after="80"/>
        <w:ind w:hanging="259" w:start="461"/>
        <w:contextualSpacing/>
        <w:rPr/>
      </w:pPr>
      <w:r>
        <w:rPr>
          <w:b w:val="false"/>
          <w:color w:val="202723"/>
          <w:sz w:val="21"/>
        </w:rPr>
        <w:t>owner contracts, subcontracts and purchase orders;</w:t>
      </w:r>
    </w:p>
    <w:p>
      <w:pPr>
        <w:pStyle w:val="ListBullet"/>
        <w:numPr>
          <w:ilvl w:val="0"/>
          <w:numId w:val="1"/>
        </w:numPr>
        <w:spacing w:lineRule="auto" w:line="276" w:before="0" w:after="80"/>
        <w:ind w:hanging="259" w:start="461"/>
        <w:contextualSpacing/>
        <w:rPr/>
      </w:pPr>
      <w:r>
        <w:rPr>
          <w:b w:val="false"/>
          <w:color w:val="202723"/>
          <w:sz w:val="21"/>
        </w:rPr>
        <w:t>commitments, invoices, payroll changes and payments;</w:t>
      </w:r>
    </w:p>
    <w:p>
      <w:pPr>
        <w:pStyle w:val="ListBullet"/>
        <w:numPr>
          <w:ilvl w:val="0"/>
          <w:numId w:val="1"/>
        </w:numPr>
        <w:spacing w:lineRule="auto" w:line="276" w:before="0" w:after="80"/>
        <w:ind w:hanging="259" w:start="461"/>
        <w:contextualSpacing/>
        <w:rPr/>
      </w:pPr>
      <w:r>
        <w:rPr>
          <w:b w:val="false"/>
          <w:color w:val="202723"/>
          <w:sz w:val="21"/>
        </w:rPr>
        <w:t>contingency use, write-offs and credit;</w:t>
      </w:r>
    </w:p>
    <w:p>
      <w:pPr>
        <w:pStyle w:val="ListBullet"/>
        <w:numPr>
          <w:ilvl w:val="0"/>
          <w:numId w:val="1"/>
        </w:numPr>
        <w:spacing w:lineRule="auto" w:line="276" w:before="0" w:after="80"/>
        <w:ind w:hanging="259" w:start="461"/>
        <w:contextualSpacing/>
        <w:rPr/>
      </w:pPr>
      <w:r>
        <w:rPr>
          <w:b w:val="false"/>
          <w:color w:val="202723"/>
          <w:sz w:val="21"/>
        </w:rPr>
        <w:t>change requests and schedule commitments;</w:t>
      </w:r>
    </w:p>
    <w:p>
      <w:pPr>
        <w:pStyle w:val="ListBullet"/>
        <w:numPr>
          <w:ilvl w:val="0"/>
          <w:numId w:val="1"/>
        </w:numPr>
        <w:spacing w:lineRule="auto" w:line="276" w:before="0" w:after="80"/>
        <w:ind w:hanging="259" w:start="461"/>
        <w:contextualSpacing/>
        <w:rPr/>
      </w:pPr>
      <w:r>
        <w:rPr>
          <w:b w:val="false"/>
          <w:color w:val="202723"/>
          <w:sz w:val="21"/>
        </w:rPr>
        <w:t>hiring, discipline, termination and compensation;</w:t>
      </w:r>
    </w:p>
    <w:p>
      <w:pPr>
        <w:pStyle w:val="ListBullet"/>
        <w:numPr>
          <w:ilvl w:val="0"/>
          <w:numId w:val="1"/>
        </w:numPr>
        <w:spacing w:lineRule="auto" w:line="276" w:before="0" w:after="80"/>
        <w:ind w:hanging="259" w:start="461"/>
        <w:contextualSpacing/>
        <w:rPr/>
      </w:pPr>
      <w:r>
        <w:rPr>
          <w:b w:val="false"/>
          <w:color w:val="202723"/>
          <w:sz w:val="21"/>
        </w:rPr>
        <w:t>safety exceptions and technical-plan approvals;</w:t>
      </w:r>
    </w:p>
    <w:p>
      <w:pPr>
        <w:pStyle w:val="ListBullet"/>
        <w:numPr>
          <w:ilvl w:val="0"/>
          <w:numId w:val="1"/>
        </w:numPr>
        <w:spacing w:lineRule="auto" w:line="276" w:before="0" w:after="80"/>
        <w:ind w:hanging="259" w:start="461"/>
        <w:contextualSpacing/>
        <w:rPr/>
      </w:pPr>
      <w:r>
        <w:rPr>
          <w:b w:val="false"/>
          <w:color w:val="202723"/>
          <w:sz w:val="21"/>
        </w:rPr>
        <w:t>system access and privileged access;</w:t>
      </w:r>
    </w:p>
    <w:p>
      <w:pPr>
        <w:pStyle w:val="ListBullet"/>
        <w:numPr>
          <w:ilvl w:val="0"/>
          <w:numId w:val="1"/>
        </w:numPr>
        <w:spacing w:lineRule="auto" w:line="276" w:before="0" w:after="80"/>
        <w:ind w:hanging="259" w:start="461"/>
        <w:contextualSpacing/>
        <w:rPr/>
      </w:pPr>
      <w:r>
        <w:rPr>
          <w:b w:val="false"/>
          <w:color w:val="202723"/>
          <w:sz w:val="21"/>
        </w:rPr>
        <w:t>public statements and legal/regulatory communications.</w:t>
      </w:r>
    </w:p>
    <w:p>
      <w:pPr>
        <w:pStyle w:val="Normal"/>
        <w:rPr/>
      </w:pPr>
      <w:r>
        <w:rPr>
          <w:b w:val="false"/>
          <w:color w:val="202723"/>
          <w:sz w:val="21"/>
        </w:rPr>
        <w:t>Delegation must be written, time-limited, retained and communicated to affected users. An absence does not automatically transfer authority.</w:t>
      </w:r>
    </w:p>
    <w:p>
      <w:pPr>
        <w:pStyle w:val="Heading3"/>
        <w:rPr/>
      </w:pPr>
      <w:r>
        <w:rPr>
          <w:rFonts w:ascii="Mendl Sans Dusk Medium" w:hAnsi="Mendl Sans Dusk Medium"/>
          <w:b w:val="false"/>
          <w:color w:val="1E392C"/>
          <w:sz w:val="23"/>
        </w:rPr>
        <w:t>3.3 Management cadence</w:t>
      </w:r>
    </w:p>
    <w:tbl>
      <w:tblPr>
        <w:tblStyle w:val="TableGrid"/>
        <w:tblW w:w="9878"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4939"/>
        <w:gridCol w:w="4939"/>
      </w:tblGrid>
      <w:tr>
        <w:trPr/>
        <w:tc>
          <w:tcPr>
            <w:tcW w:w="49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Cadence</w:t>
            </w:r>
          </w:p>
        </w:tc>
        <w:tc>
          <w:tcPr>
            <w:tcW w:w="49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Minimum agenda</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Daily project</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Safety, planned work, constraints, deliveries, inspections, coordination and changes.</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Weekly operations</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Safety, quality, schedule, cost, changes, procurement, staffing, client issues and decisions.</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Monthly financial</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Cash, AR/AP, WIP, forecast, backlog, margin movement, under/over billing and risk.</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Monthly pipeline</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Opportunities, go/no-go, hit rate, capacity, client strategy and proposal lessons.</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Quarterly risk</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Insurance, claims, contracts, licensing, cybersecurity, continuity, compliance and top risks.</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Quarterly safety/quality</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Trends, incidents, audit findings, NCR/CAPA, training and program changes.</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Annual management review</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EMS effectiveness, objectives, resources, audit results, stakeholder needs and approved revisions.</w:t>
            </w:r>
          </w:p>
        </w:tc>
      </w:tr>
    </w:tbl>
    <w:p>
      <w:pPr>
        <w:pStyle w:val="Normal"/>
        <w:spacing w:before="0" w:after="20"/>
        <w:rPr/>
      </w:pPr>
      <w:r>
        <w:rPr/>
      </w:r>
    </w:p>
    <w:p>
      <w:pPr>
        <w:pStyle w:val="Normal"/>
        <w:rPr/>
      </w:pPr>
      <w:r>
        <w:rPr>
          <w:b w:val="false"/>
          <w:color w:val="202723"/>
          <w:sz w:val="21"/>
        </w:rPr>
        <w:t>Meetings must create decisions, owners and due dates. Repeated discussion without closure is a control failure.</w:t>
      </w:r>
      <w:r>
        <w:br w:type="page"/>
      </w:r>
    </w:p>
    <w:p>
      <w:pPr>
        <w:pStyle w:val="Heading2"/>
        <w:keepNext w:val="true"/>
        <w:spacing w:before="0" w:after="120"/>
        <w:rPr/>
      </w:pPr>
      <w:r>
        <w:rPr>
          <w:rFonts w:ascii="Mendl Sans Dusk Medium" w:hAnsi="Mendl Sans Dusk Medium"/>
          <w:b w:val="false"/>
          <w:color w:val="628F79"/>
          <w:sz w:val="26"/>
        </w:rPr>
        <w:t>4. Strategy and annual planning</w:t>
      </w:r>
    </w:p>
    <w:p>
      <w:pPr>
        <w:pStyle w:val="Normal"/>
        <w:rPr/>
      </w:pPr>
      <w:r>
        <w:rPr>
          <w:b w:val="false"/>
          <w:color w:val="202723"/>
          <w:sz w:val="21"/>
        </w:rPr>
        <w:t>Leadership shall approve an annual plan that converts strategy into measurable priorities. The plan includes:</w:t>
      </w:r>
    </w:p>
    <w:p>
      <w:pPr>
        <w:pStyle w:val="ListBullet"/>
        <w:numPr>
          <w:ilvl w:val="0"/>
          <w:numId w:val="1"/>
        </w:numPr>
        <w:spacing w:lineRule="auto" w:line="276" w:before="0" w:after="80"/>
        <w:ind w:hanging="259" w:start="461"/>
        <w:contextualSpacing/>
        <w:rPr/>
      </w:pPr>
      <w:r>
        <w:rPr>
          <w:b w:val="false"/>
          <w:color w:val="202723"/>
          <w:sz w:val="21"/>
        </w:rPr>
        <w:t>target markets, geography, project types and client profiles;</w:t>
      </w:r>
    </w:p>
    <w:p>
      <w:pPr>
        <w:pStyle w:val="ListBullet"/>
        <w:numPr>
          <w:ilvl w:val="0"/>
          <w:numId w:val="1"/>
        </w:numPr>
        <w:spacing w:lineRule="auto" w:line="276" w:before="0" w:after="80"/>
        <w:ind w:hanging="259" w:start="461"/>
        <w:contextualSpacing/>
        <w:rPr/>
      </w:pPr>
      <w:r>
        <w:rPr>
          <w:b w:val="false"/>
          <w:color w:val="202723"/>
          <w:sz w:val="21"/>
        </w:rPr>
        <w:t>revenue, gross-margin, cash and backlog objectives;</w:t>
      </w:r>
    </w:p>
    <w:p>
      <w:pPr>
        <w:pStyle w:val="ListBullet"/>
        <w:numPr>
          <w:ilvl w:val="0"/>
          <w:numId w:val="1"/>
        </w:numPr>
        <w:spacing w:lineRule="auto" w:line="276" w:before="0" w:after="80"/>
        <w:ind w:hanging="259" w:start="461"/>
        <w:contextualSpacing/>
        <w:rPr/>
      </w:pPr>
      <w:r>
        <w:rPr>
          <w:b w:val="false"/>
          <w:color w:val="202723"/>
          <w:sz w:val="21"/>
        </w:rPr>
        <w:t>bonding, licensing, insurance and working-capital capacity;</w:t>
      </w:r>
    </w:p>
    <w:p>
      <w:pPr>
        <w:pStyle w:val="ListBullet"/>
        <w:numPr>
          <w:ilvl w:val="0"/>
          <w:numId w:val="1"/>
        </w:numPr>
        <w:spacing w:lineRule="auto" w:line="276" w:before="0" w:after="80"/>
        <w:ind w:hanging="259" w:start="461"/>
        <w:contextualSpacing/>
        <w:rPr/>
      </w:pPr>
      <w:r>
        <w:rPr>
          <w:b w:val="false"/>
          <w:color w:val="202723"/>
          <w:sz w:val="21"/>
        </w:rPr>
        <w:t>people, equipment, technology and subcontractor capacity;</w:t>
      </w:r>
    </w:p>
    <w:p>
      <w:pPr>
        <w:pStyle w:val="ListBullet"/>
        <w:numPr>
          <w:ilvl w:val="0"/>
          <w:numId w:val="1"/>
        </w:numPr>
        <w:spacing w:lineRule="auto" w:line="276" w:before="0" w:after="80"/>
        <w:ind w:hanging="259" w:start="461"/>
        <w:contextualSpacing/>
        <w:rPr/>
      </w:pPr>
      <w:r>
        <w:rPr>
          <w:b w:val="false"/>
          <w:color w:val="202723"/>
          <w:sz w:val="21"/>
        </w:rPr>
        <w:t>safety and quality objectives;</w:t>
      </w:r>
    </w:p>
    <w:p>
      <w:pPr>
        <w:pStyle w:val="ListBullet"/>
        <w:numPr>
          <w:ilvl w:val="0"/>
          <w:numId w:val="1"/>
        </w:numPr>
        <w:spacing w:lineRule="auto" w:line="276" w:before="0" w:after="80"/>
        <w:ind w:hanging="259" w:start="461"/>
        <w:contextualSpacing/>
        <w:rPr/>
      </w:pPr>
      <w:r>
        <w:rPr>
          <w:b w:val="false"/>
          <w:color w:val="202723"/>
          <w:sz w:val="21"/>
        </w:rPr>
        <w:t>strategic risks and mitigation;</w:t>
      </w:r>
    </w:p>
    <w:p>
      <w:pPr>
        <w:pStyle w:val="ListBullet"/>
        <w:numPr>
          <w:ilvl w:val="0"/>
          <w:numId w:val="1"/>
        </w:numPr>
        <w:spacing w:lineRule="auto" w:line="276" w:before="0" w:after="80"/>
        <w:ind w:hanging="259" w:start="461"/>
        <w:contextualSpacing/>
        <w:rPr/>
      </w:pPr>
      <w:r>
        <w:rPr>
          <w:b w:val="false"/>
          <w:color w:val="202723"/>
          <w:sz w:val="21"/>
        </w:rPr>
        <w:t>capital expenditures and major system investments;</w:t>
      </w:r>
    </w:p>
    <w:p>
      <w:pPr>
        <w:pStyle w:val="ListBullet"/>
        <w:numPr>
          <w:ilvl w:val="0"/>
          <w:numId w:val="1"/>
        </w:numPr>
        <w:spacing w:lineRule="auto" w:line="276" w:before="0" w:after="80"/>
        <w:ind w:hanging="259" w:start="461"/>
        <w:contextualSpacing/>
        <w:rPr/>
      </w:pPr>
      <w:r>
        <w:rPr>
          <w:b w:val="false"/>
          <w:color w:val="202723"/>
          <w:sz w:val="21"/>
        </w:rPr>
        <w:t>accountable executive and quarterly milestones for each priority.</w:t>
      </w:r>
    </w:p>
    <w:p>
      <w:pPr>
        <w:pStyle w:val="Normal"/>
        <w:rPr/>
      </w:pPr>
      <w:r>
        <w:rPr>
          <w:b w:val="false"/>
          <w:color w:val="202723"/>
          <w:sz w:val="21"/>
        </w:rPr>
        <w:t>New geography, delivery method, project size or risk class requires a capability review before pursuit. Growth may not exceed the company's ability to supervise work, finance commitments, manage safety, control quality and close projects.</w:t>
      </w:r>
      <w:r>
        <w:br w:type="page"/>
      </w:r>
    </w:p>
    <w:p>
      <w:pPr>
        <w:pStyle w:val="Heading1"/>
        <w:keepNext w:val="true"/>
        <w:spacing w:before="0" w:after="160"/>
        <w:rPr/>
      </w:pPr>
      <w:r>
        <w:rPr>
          <w:rFonts w:ascii="Mendl Sans Dusk Bold" w:hAnsi="Mendl Sans Dusk Bold"/>
          <w:b/>
          <w:color w:val="386851"/>
          <w:sz w:val="32"/>
        </w:rPr>
        <w:t>Part II - Opportunity through contract</w:t>
      </w:r>
      <w:r>
        <w:br w:type="page"/>
      </w:r>
    </w:p>
    <w:p>
      <w:pPr>
        <w:pStyle w:val="Heading2"/>
        <w:keepNext w:val="true"/>
        <w:spacing w:before="0" w:after="120"/>
        <w:rPr/>
      </w:pPr>
      <w:r>
        <w:rPr>
          <w:rFonts w:ascii="Mendl Sans Dusk Medium" w:hAnsi="Mendl Sans Dusk Medium"/>
          <w:b w:val="false"/>
          <w:color w:val="628F79"/>
          <w:sz w:val="26"/>
        </w:rPr>
        <w:t>5. Marketing and business development</w:t>
      </w:r>
    </w:p>
    <w:p>
      <w:pPr>
        <w:pStyle w:val="Heading3"/>
        <w:rPr/>
      </w:pPr>
      <w:r>
        <w:rPr>
          <w:rFonts w:ascii="Mendl Sans Dusk Medium" w:hAnsi="Mendl Sans Dusk Medium"/>
          <w:b w:val="false"/>
          <w:color w:val="1E392C"/>
          <w:sz w:val="23"/>
        </w:rPr>
        <w:t>5.1 Market and brand control</w:t>
      </w:r>
    </w:p>
    <w:p>
      <w:pPr>
        <w:pStyle w:val="Normal"/>
        <w:rPr/>
      </w:pPr>
      <w:r>
        <w:rPr>
          <w:b w:val="false"/>
          <w:color w:val="202723"/>
          <w:sz w:val="21"/>
        </w:rPr>
        <w:t>Marketing shall communicate verified capabilities and project facts. Claims about safety, certifications, past performance, client outcomes, licenses, bonding or self-perform capacity must be supported by current evidence.</w:t>
      </w:r>
    </w:p>
    <w:p>
      <w:pPr>
        <w:pStyle w:val="Normal"/>
        <w:rPr/>
      </w:pPr>
      <w:r>
        <w:rPr>
          <w:b w:val="false"/>
          <w:color w:val="202723"/>
          <w:sz w:val="21"/>
        </w:rPr>
        <w:t>The Brand Standards Guide shall control logos, colors, typography, photography, voice and approvals. Safety or regulatory terms may not be altered for marketing effect in controlled safety documents.</w:t>
      </w:r>
    </w:p>
    <w:p>
      <w:pPr>
        <w:pStyle w:val="Heading3"/>
        <w:rPr/>
      </w:pPr>
      <w:r>
        <w:rPr>
          <w:rFonts w:ascii="Mendl Sans Dusk Medium" w:hAnsi="Mendl Sans Dusk Medium"/>
          <w:b w:val="false"/>
          <w:color w:val="1E392C"/>
          <w:sz w:val="23"/>
        </w:rPr>
        <w:t>5.2 CRM requirements</w:t>
      </w:r>
    </w:p>
    <w:p>
      <w:pPr>
        <w:pStyle w:val="Normal"/>
        <w:rPr/>
      </w:pPr>
      <w:r>
        <w:rPr>
          <w:b w:val="false"/>
          <w:color w:val="202723"/>
          <w:sz w:val="21"/>
        </w:rPr>
        <w:t>Every qualified opportunity shall be recorded in the approved CRM with:</w:t>
      </w:r>
    </w:p>
    <w:p>
      <w:pPr>
        <w:pStyle w:val="ListBullet"/>
        <w:numPr>
          <w:ilvl w:val="0"/>
          <w:numId w:val="1"/>
        </w:numPr>
        <w:spacing w:lineRule="auto" w:line="276" w:before="0" w:after="80"/>
        <w:ind w:hanging="259" w:start="461"/>
        <w:contextualSpacing/>
        <w:rPr/>
      </w:pPr>
      <w:r>
        <w:rPr>
          <w:b w:val="false"/>
          <w:color w:val="202723"/>
          <w:sz w:val="21"/>
        </w:rPr>
        <w:t>client, contact and relationship owner;</w:t>
      </w:r>
    </w:p>
    <w:p>
      <w:pPr>
        <w:pStyle w:val="ListBullet"/>
        <w:numPr>
          <w:ilvl w:val="0"/>
          <w:numId w:val="1"/>
        </w:numPr>
        <w:spacing w:lineRule="auto" w:line="276" w:before="0" w:after="80"/>
        <w:ind w:hanging="259" w:start="461"/>
        <w:contextualSpacing/>
        <w:rPr/>
      </w:pPr>
      <w:r>
        <w:rPr>
          <w:b w:val="false"/>
          <w:color w:val="202723"/>
          <w:sz w:val="21"/>
        </w:rPr>
        <w:t>project, location, delivery method and estimated size;</w:t>
      </w:r>
    </w:p>
    <w:p>
      <w:pPr>
        <w:pStyle w:val="ListBullet"/>
        <w:numPr>
          <w:ilvl w:val="0"/>
          <w:numId w:val="1"/>
        </w:numPr>
        <w:spacing w:lineRule="auto" w:line="276" w:before="0" w:after="80"/>
        <w:ind w:hanging="259" w:start="461"/>
        <w:contextualSpacing/>
        <w:rPr/>
      </w:pPr>
      <w:r>
        <w:rPr>
          <w:b w:val="false"/>
          <w:color w:val="202723"/>
          <w:sz w:val="21"/>
        </w:rPr>
        <w:t>source and strategic fit;</w:t>
      </w:r>
    </w:p>
    <w:p>
      <w:pPr>
        <w:pStyle w:val="ListBullet"/>
        <w:numPr>
          <w:ilvl w:val="0"/>
          <w:numId w:val="1"/>
        </w:numPr>
        <w:spacing w:lineRule="auto" w:line="276" w:before="0" w:after="80"/>
        <w:ind w:hanging="259" w:start="461"/>
        <w:contextualSpacing/>
        <w:rPr/>
      </w:pPr>
      <w:r>
        <w:rPr>
          <w:b w:val="false"/>
          <w:color w:val="202723"/>
          <w:sz w:val="21"/>
        </w:rPr>
        <w:t>bid date and decision milestones;</w:t>
      </w:r>
    </w:p>
    <w:p>
      <w:pPr>
        <w:pStyle w:val="ListBullet"/>
        <w:numPr>
          <w:ilvl w:val="0"/>
          <w:numId w:val="1"/>
        </w:numPr>
        <w:spacing w:lineRule="auto" w:line="276" w:before="0" w:after="80"/>
        <w:ind w:hanging="259" w:start="461"/>
        <w:contextualSpacing/>
        <w:rPr/>
      </w:pPr>
      <w:r>
        <w:rPr>
          <w:b w:val="false"/>
          <w:color w:val="202723"/>
          <w:sz w:val="21"/>
        </w:rPr>
        <w:t>competition and incumbent information when known;</w:t>
      </w:r>
    </w:p>
    <w:p>
      <w:pPr>
        <w:pStyle w:val="ListBullet"/>
        <w:numPr>
          <w:ilvl w:val="0"/>
          <w:numId w:val="1"/>
        </w:numPr>
        <w:spacing w:lineRule="auto" w:line="276" w:before="0" w:after="80"/>
        <w:ind w:hanging="259" w:start="461"/>
        <w:contextualSpacing/>
        <w:rPr/>
      </w:pPr>
      <w:r>
        <w:rPr>
          <w:b w:val="false"/>
          <w:color w:val="202723"/>
          <w:sz w:val="21"/>
        </w:rPr>
        <w:t>next action, owner and date;</w:t>
      </w:r>
    </w:p>
    <w:p>
      <w:pPr>
        <w:pStyle w:val="ListBullet"/>
        <w:numPr>
          <w:ilvl w:val="0"/>
          <w:numId w:val="1"/>
        </w:numPr>
        <w:spacing w:lineRule="auto" w:line="276" w:before="0" w:after="80"/>
        <w:ind w:hanging="259" w:start="461"/>
        <w:contextualSpacing/>
        <w:rPr/>
      </w:pPr>
      <w:r>
        <w:rPr>
          <w:b w:val="false"/>
          <w:color w:val="202723"/>
          <w:sz w:val="21"/>
        </w:rPr>
        <w:t>disposition and loss reason.</w:t>
      </w:r>
    </w:p>
    <w:p>
      <w:pPr>
        <w:pStyle w:val="Normal"/>
        <w:rPr/>
      </w:pPr>
      <w:r>
        <w:rPr>
          <w:b w:val="false"/>
          <w:color w:val="202723"/>
          <w:sz w:val="21"/>
        </w:rPr>
        <w:t>The CRM is the opportunity system of record. Personal notes, email and spreadsheets may support the process but do not replace required CRM fields.</w:t>
      </w:r>
    </w:p>
    <w:p>
      <w:pPr>
        <w:pStyle w:val="Heading3"/>
        <w:rPr/>
      </w:pPr>
      <w:r>
        <w:rPr>
          <w:rFonts w:ascii="Mendl Sans Dusk Medium" w:hAnsi="Mendl Sans Dusk Medium"/>
          <w:b w:val="false"/>
          <w:color w:val="1E392C"/>
          <w:sz w:val="23"/>
        </w:rPr>
        <w:t>5.3 Marketing-to-sales and sales-to-estimating handoffs</w:t>
      </w:r>
    </w:p>
    <w:p>
      <w:pPr>
        <w:pStyle w:val="Normal"/>
        <w:rPr/>
      </w:pPr>
      <w:r>
        <w:rPr>
          <w:b w:val="false"/>
          <w:color w:val="202723"/>
          <w:sz w:val="21"/>
        </w:rPr>
        <w:t>Handoffs shall identify the client problem, relationship history, decision criteria, project constraints, commitments already made, approved messages, and next action. No lead is considered transferred until the receiving owner accepts it.</w:t>
      </w:r>
      <w:r>
        <w:br w:type="page"/>
      </w:r>
    </w:p>
    <w:p>
      <w:pPr>
        <w:pStyle w:val="Heading2"/>
        <w:keepNext w:val="true"/>
        <w:spacing w:before="0" w:after="120"/>
        <w:rPr/>
      </w:pPr>
      <w:r>
        <w:rPr>
          <w:rFonts w:ascii="Mendl Sans Dusk Medium" w:hAnsi="Mendl Sans Dusk Medium"/>
          <w:b w:val="false"/>
          <w:color w:val="628F79"/>
          <w:sz w:val="26"/>
        </w:rPr>
        <w:t>6. Opportunity qualification and go/no-go</w:t>
      </w:r>
    </w:p>
    <w:p>
      <w:pPr>
        <w:pStyle w:val="Normal"/>
        <w:rPr/>
      </w:pPr>
      <w:r>
        <w:rPr>
          <w:b w:val="false"/>
          <w:color w:val="202723"/>
          <w:sz w:val="21"/>
        </w:rPr>
        <w:t>Every material pursuit shall receive a documented go/no-go review proportional to risk. The review considers:</w:t>
      </w:r>
    </w:p>
    <w:p>
      <w:pPr>
        <w:pStyle w:val="ListBullet"/>
        <w:numPr>
          <w:ilvl w:val="0"/>
          <w:numId w:val="1"/>
        </w:numPr>
        <w:spacing w:lineRule="auto" w:line="276" w:before="0" w:after="80"/>
        <w:ind w:hanging="259" w:start="461"/>
        <w:contextualSpacing/>
        <w:rPr/>
      </w:pPr>
      <w:r>
        <w:rPr>
          <w:b w:val="false"/>
          <w:color w:val="202723"/>
          <w:sz w:val="21"/>
        </w:rPr>
        <w:t>strategic and client fit;</w:t>
      </w:r>
    </w:p>
    <w:p>
      <w:pPr>
        <w:pStyle w:val="ListBullet"/>
        <w:numPr>
          <w:ilvl w:val="0"/>
          <w:numId w:val="1"/>
        </w:numPr>
        <w:spacing w:lineRule="auto" w:line="276" w:before="0" w:after="80"/>
        <w:ind w:hanging="259" w:start="461"/>
        <w:contextualSpacing/>
        <w:rPr/>
      </w:pPr>
      <w:r>
        <w:rPr>
          <w:b w:val="false"/>
          <w:color w:val="202723"/>
          <w:sz w:val="21"/>
        </w:rPr>
        <w:t>scope clarity and delivery method;</w:t>
      </w:r>
    </w:p>
    <w:p>
      <w:pPr>
        <w:pStyle w:val="ListBullet"/>
        <w:numPr>
          <w:ilvl w:val="0"/>
          <w:numId w:val="1"/>
        </w:numPr>
        <w:spacing w:lineRule="auto" w:line="276" w:before="0" w:after="80"/>
        <w:ind w:hanging="259" w:start="461"/>
        <w:contextualSpacing/>
        <w:rPr/>
      </w:pPr>
      <w:r>
        <w:rPr>
          <w:b w:val="false"/>
          <w:color w:val="202723"/>
          <w:sz w:val="21"/>
        </w:rPr>
        <w:t>project location and applicable law;</w:t>
      </w:r>
    </w:p>
    <w:p>
      <w:pPr>
        <w:pStyle w:val="ListBullet"/>
        <w:numPr>
          <w:ilvl w:val="0"/>
          <w:numId w:val="1"/>
        </w:numPr>
        <w:spacing w:lineRule="auto" w:line="276" w:before="0" w:after="80"/>
        <w:ind w:hanging="259" w:start="461"/>
        <w:contextualSpacing/>
        <w:rPr/>
      </w:pPr>
      <w:r>
        <w:rPr>
          <w:b w:val="false"/>
          <w:color w:val="202723"/>
          <w:sz w:val="21"/>
        </w:rPr>
        <w:t>schedule realism and liquidated-damages exposure;</w:t>
      </w:r>
    </w:p>
    <w:p>
      <w:pPr>
        <w:pStyle w:val="ListBullet"/>
        <w:numPr>
          <w:ilvl w:val="0"/>
          <w:numId w:val="1"/>
        </w:numPr>
        <w:spacing w:lineRule="auto" w:line="276" w:before="0" w:after="80"/>
        <w:ind w:hanging="259" w:start="461"/>
        <w:contextualSpacing/>
        <w:rPr/>
      </w:pPr>
      <w:r>
        <w:rPr>
          <w:b w:val="false"/>
          <w:color w:val="202723"/>
          <w:sz w:val="21"/>
        </w:rPr>
        <w:t>internal staffing and supervision;</w:t>
      </w:r>
    </w:p>
    <w:p>
      <w:pPr>
        <w:pStyle w:val="ListBullet"/>
        <w:numPr>
          <w:ilvl w:val="0"/>
          <w:numId w:val="1"/>
        </w:numPr>
        <w:spacing w:lineRule="auto" w:line="276" w:before="0" w:after="80"/>
        <w:ind w:hanging="259" w:start="461"/>
        <w:contextualSpacing/>
        <w:rPr/>
      </w:pPr>
      <w:r>
        <w:rPr>
          <w:b w:val="false"/>
          <w:color w:val="202723"/>
          <w:sz w:val="21"/>
        </w:rPr>
        <w:t>subcontractor and supplier market coverage;</w:t>
      </w:r>
    </w:p>
    <w:p>
      <w:pPr>
        <w:pStyle w:val="ListBullet"/>
        <w:numPr>
          <w:ilvl w:val="0"/>
          <w:numId w:val="1"/>
        </w:numPr>
        <w:spacing w:lineRule="auto" w:line="276" w:before="0" w:after="80"/>
        <w:ind w:hanging="259" w:start="461"/>
        <w:contextualSpacing/>
        <w:rPr/>
      </w:pPr>
      <w:r>
        <w:rPr>
          <w:b w:val="false"/>
          <w:color w:val="202723"/>
          <w:sz w:val="21"/>
        </w:rPr>
        <w:t>bonding, insurance, license and cash capacity;</w:t>
      </w:r>
    </w:p>
    <w:p>
      <w:pPr>
        <w:pStyle w:val="ListBullet"/>
        <w:numPr>
          <w:ilvl w:val="0"/>
          <w:numId w:val="1"/>
        </w:numPr>
        <w:spacing w:lineRule="auto" w:line="276" w:before="0" w:after="80"/>
        <w:ind w:hanging="259" w:start="461"/>
        <w:contextualSpacing/>
        <w:rPr/>
      </w:pPr>
      <w:r>
        <w:rPr>
          <w:b w:val="false"/>
          <w:color w:val="202723"/>
          <w:sz w:val="21"/>
        </w:rPr>
        <w:t>owner, architect and funding risk;</w:t>
      </w:r>
    </w:p>
    <w:p>
      <w:pPr>
        <w:pStyle w:val="ListBullet"/>
        <w:numPr>
          <w:ilvl w:val="0"/>
          <w:numId w:val="1"/>
        </w:numPr>
        <w:spacing w:lineRule="auto" w:line="276" w:before="0" w:after="80"/>
        <w:ind w:hanging="259" w:start="461"/>
        <w:contextualSpacing/>
        <w:rPr/>
      </w:pPr>
      <w:r>
        <w:rPr>
          <w:b w:val="false"/>
          <w:color w:val="202723"/>
          <w:sz w:val="21"/>
        </w:rPr>
        <w:t>contract form and unusual clauses;</w:t>
      </w:r>
    </w:p>
    <w:p>
      <w:pPr>
        <w:pStyle w:val="ListBullet"/>
        <w:numPr>
          <w:ilvl w:val="0"/>
          <w:numId w:val="1"/>
        </w:numPr>
        <w:spacing w:lineRule="auto" w:line="276" w:before="0" w:after="80"/>
        <w:ind w:hanging="259" w:start="461"/>
        <w:contextualSpacing/>
        <w:rPr/>
      </w:pPr>
      <w:r>
        <w:rPr>
          <w:b w:val="false"/>
          <w:color w:val="202723"/>
          <w:sz w:val="21"/>
        </w:rPr>
        <w:t>safety, environmental and technical hazards;</w:t>
      </w:r>
    </w:p>
    <w:p>
      <w:pPr>
        <w:pStyle w:val="ListBullet"/>
        <w:numPr>
          <w:ilvl w:val="0"/>
          <w:numId w:val="1"/>
        </w:numPr>
        <w:spacing w:lineRule="auto" w:line="276" w:before="0" w:after="80"/>
        <w:ind w:hanging="259" w:start="461"/>
        <w:contextualSpacing/>
        <w:rPr/>
      </w:pPr>
      <w:r>
        <w:rPr>
          <w:b w:val="false"/>
          <w:color w:val="202723"/>
          <w:sz w:val="21"/>
        </w:rPr>
        <w:t>expected competition, win probability and pursuit cost;</w:t>
      </w:r>
    </w:p>
    <w:p>
      <w:pPr>
        <w:pStyle w:val="ListBullet"/>
        <w:numPr>
          <w:ilvl w:val="0"/>
          <w:numId w:val="1"/>
        </w:numPr>
        <w:spacing w:lineRule="auto" w:line="276" w:before="0" w:after="80"/>
        <w:ind w:hanging="259" w:start="461"/>
        <w:contextualSpacing/>
        <w:rPr/>
      </w:pPr>
      <w:r>
        <w:rPr>
          <w:b w:val="false"/>
          <w:color w:val="202723"/>
          <w:sz w:val="21"/>
        </w:rPr>
        <w:t>target margin and downside exposure.</w:t>
      </w:r>
    </w:p>
    <w:p>
      <w:pPr>
        <w:pStyle w:val="Normal"/>
        <w:rPr/>
      </w:pPr>
      <w:r>
        <w:rPr>
          <w:b w:val="false"/>
          <w:color w:val="202723"/>
          <w:sz w:val="21"/>
        </w:rPr>
        <w:t xml:space="preserve">The decision may be </w:t>
      </w:r>
      <w:r>
        <w:rPr>
          <w:rFonts w:ascii="Mendl Sans Dusk Bold" w:hAnsi="Mendl Sans Dusk Bold"/>
          <w:b/>
          <w:color w:val="202723"/>
          <w:sz w:val="21"/>
        </w:rPr>
        <w:t>Go, Conditional Go, Hold or No-Go</w:t>
      </w:r>
      <w:r>
        <w:rPr>
          <w:b w:val="false"/>
          <w:color w:val="202723"/>
          <w:sz w:val="21"/>
        </w:rPr>
        <w:t>. Conditions must have owners and be closed before bid submission or expressly accepted by authorized leadership.</w:t>
      </w:r>
      <w:r>
        <w:br w:type="page"/>
      </w:r>
    </w:p>
    <w:p>
      <w:pPr>
        <w:pStyle w:val="Heading2"/>
        <w:keepNext w:val="true"/>
        <w:spacing w:before="0" w:after="120"/>
        <w:rPr/>
      </w:pPr>
      <w:r>
        <w:rPr>
          <w:rFonts w:ascii="Mendl Sans Dusk Medium" w:hAnsi="Mendl Sans Dusk Medium"/>
          <w:b w:val="false"/>
          <w:color w:val="628F79"/>
          <w:sz w:val="26"/>
        </w:rPr>
        <w:t>7. Estimating and proposal control</w:t>
      </w:r>
    </w:p>
    <w:p>
      <w:pPr>
        <w:pStyle w:val="Heading3"/>
        <w:rPr/>
      </w:pPr>
      <w:r>
        <w:rPr>
          <w:rFonts w:ascii="Mendl Sans Dusk Medium" w:hAnsi="Mendl Sans Dusk Medium"/>
          <w:b w:val="false"/>
          <w:color w:val="1E392C"/>
          <w:sz w:val="23"/>
        </w:rPr>
        <w:t>7.1 Estimate basis</w:t>
      </w:r>
    </w:p>
    <w:p>
      <w:pPr>
        <w:pStyle w:val="Normal"/>
        <w:rPr/>
      </w:pPr>
      <w:r>
        <w:rPr>
          <w:b w:val="false"/>
          <w:color w:val="202723"/>
          <w:sz w:val="21"/>
        </w:rPr>
        <w:t>Every estimate shall preserve a basis-of-estimate record including drawings/specifications and addenda used, scope assumptions, quantities, labor/equipment rates, subcontractor quotes, exclusions, allowances, escalation, schedule, general conditions, contingency and unresolved risks.</w:t>
      </w:r>
    </w:p>
    <w:p>
      <w:pPr>
        <w:pStyle w:val="Heading3"/>
        <w:rPr/>
      </w:pPr>
      <w:r>
        <w:rPr>
          <w:rFonts w:ascii="Mendl Sans Dusk Medium" w:hAnsi="Mendl Sans Dusk Medium"/>
          <w:b w:val="false"/>
          <w:color w:val="1E392C"/>
          <w:sz w:val="23"/>
        </w:rPr>
        <w:t>7.2 Independent review</w:t>
      </w:r>
    </w:p>
    <w:p>
      <w:pPr>
        <w:pStyle w:val="Normal"/>
        <w:rPr/>
      </w:pPr>
      <w:r>
        <w:rPr>
          <w:b w:val="false"/>
          <w:color w:val="202723"/>
          <w:sz w:val="21"/>
        </w:rPr>
        <w:t>Material estimates require an independent review by someone other than the preparer. Review depth shall reflect size, complexity and risk and include:</w:t>
      </w:r>
    </w:p>
    <w:p>
      <w:pPr>
        <w:pStyle w:val="ListBullet"/>
        <w:numPr>
          <w:ilvl w:val="0"/>
          <w:numId w:val="1"/>
        </w:numPr>
        <w:spacing w:lineRule="auto" w:line="276" w:before="0" w:after="80"/>
        <w:ind w:hanging="259" w:start="461"/>
        <w:contextualSpacing/>
        <w:rPr/>
      </w:pPr>
      <w:r>
        <w:rPr>
          <w:b w:val="false"/>
          <w:color w:val="202723"/>
          <w:sz w:val="21"/>
        </w:rPr>
        <w:t>scope completeness and drawing/specification reconciliation;</w:t>
      </w:r>
    </w:p>
    <w:p>
      <w:pPr>
        <w:pStyle w:val="ListBullet"/>
        <w:numPr>
          <w:ilvl w:val="0"/>
          <w:numId w:val="1"/>
        </w:numPr>
        <w:spacing w:lineRule="auto" w:line="276" w:before="0" w:after="80"/>
        <w:ind w:hanging="259" w:start="461"/>
        <w:contextualSpacing/>
        <w:rPr/>
      </w:pPr>
      <w:r>
        <w:rPr>
          <w:b w:val="false"/>
          <w:color w:val="202723"/>
          <w:sz w:val="21"/>
        </w:rPr>
        <w:t>quantity and unit-rate checks;</w:t>
      </w:r>
    </w:p>
    <w:p>
      <w:pPr>
        <w:pStyle w:val="ListBullet"/>
        <w:numPr>
          <w:ilvl w:val="0"/>
          <w:numId w:val="1"/>
        </w:numPr>
        <w:spacing w:lineRule="auto" w:line="276" w:before="0" w:after="80"/>
        <w:ind w:hanging="259" w:start="461"/>
        <w:contextualSpacing/>
        <w:rPr/>
      </w:pPr>
      <w:r>
        <w:rPr>
          <w:b w:val="false"/>
          <w:color w:val="202723"/>
          <w:sz w:val="21"/>
        </w:rPr>
        <w:t>subcontractor quote leveling and exclusions;</w:t>
      </w:r>
    </w:p>
    <w:p>
      <w:pPr>
        <w:pStyle w:val="ListBullet"/>
        <w:numPr>
          <w:ilvl w:val="0"/>
          <w:numId w:val="1"/>
        </w:numPr>
        <w:spacing w:lineRule="auto" w:line="276" w:before="0" w:after="80"/>
        <w:ind w:hanging="259" w:start="461"/>
        <w:contextualSpacing/>
        <w:rPr/>
      </w:pPr>
      <w:r>
        <w:rPr>
          <w:b w:val="false"/>
          <w:color w:val="202723"/>
          <w:sz w:val="21"/>
        </w:rPr>
        <w:t>schedule/general-conditions alignment;</w:t>
      </w:r>
    </w:p>
    <w:p>
      <w:pPr>
        <w:pStyle w:val="ListBullet"/>
        <w:numPr>
          <w:ilvl w:val="0"/>
          <w:numId w:val="1"/>
        </w:numPr>
        <w:spacing w:lineRule="auto" w:line="276" w:before="0" w:after="80"/>
        <w:ind w:hanging="259" w:start="461"/>
        <w:contextualSpacing/>
        <w:rPr/>
      </w:pPr>
      <w:r>
        <w:rPr>
          <w:b w:val="false"/>
          <w:color w:val="202723"/>
          <w:sz w:val="21"/>
        </w:rPr>
        <w:t>insurance, bonding, taxes, permits and fees;</w:t>
      </w:r>
    </w:p>
    <w:p>
      <w:pPr>
        <w:pStyle w:val="ListBullet"/>
        <w:numPr>
          <w:ilvl w:val="0"/>
          <w:numId w:val="1"/>
        </w:numPr>
        <w:spacing w:lineRule="auto" w:line="276" w:before="0" w:after="80"/>
        <w:ind w:hanging="259" w:start="461"/>
        <w:contextualSpacing/>
        <w:rPr/>
      </w:pPr>
      <w:r>
        <w:rPr>
          <w:b w:val="false"/>
          <w:color w:val="202723"/>
          <w:sz w:val="21"/>
        </w:rPr>
        <w:t>escalation, logistics, safety and quality costs;</w:t>
      </w:r>
    </w:p>
    <w:p>
      <w:pPr>
        <w:pStyle w:val="ListBullet"/>
        <w:numPr>
          <w:ilvl w:val="0"/>
          <w:numId w:val="1"/>
        </w:numPr>
        <w:spacing w:lineRule="auto" w:line="276" w:before="0" w:after="80"/>
        <w:ind w:hanging="259" w:start="461"/>
        <w:contextualSpacing/>
        <w:rPr/>
      </w:pPr>
      <w:r>
        <w:rPr>
          <w:b w:val="false"/>
          <w:color w:val="202723"/>
          <w:sz w:val="21"/>
        </w:rPr>
        <w:t>alternates, allowances and owner-furnished items;</w:t>
      </w:r>
    </w:p>
    <w:p>
      <w:pPr>
        <w:pStyle w:val="ListBullet"/>
        <w:numPr>
          <w:ilvl w:val="0"/>
          <w:numId w:val="1"/>
        </w:numPr>
        <w:spacing w:lineRule="auto" w:line="276" w:before="0" w:after="80"/>
        <w:ind w:hanging="259" w:start="461"/>
        <w:contextualSpacing/>
        <w:rPr/>
      </w:pPr>
      <w:r>
        <w:rPr>
          <w:b w:val="false"/>
          <w:color w:val="202723"/>
          <w:sz w:val="21"/>
        </w:rPr>
        <w:t>proposal language and contract-risk exceptions.</w:t>
      </w:r>
    </w:p>
    <w:p>
      <w:pPr>
        <w:pStyle w:val="Heading3"/>
        <w:rPr/>
      </w:pPr>
      <w:r>
        <w:rPr>
          <w:rFonts w:ascii="Mendl Sans Dusk Medium" w:hAnsi="Mendl Sans Dusk Medium"/>
          <w:b w:val="false"/>
          <w:color w:val="1E392C"/>
          <w:sz w:val="23"/>
        </w:rPr>
        <w:t>7.3 Proposal approval</w:t>
      </w:r>
    </w:p>
    <w:p>
      <w:pPr>
        <w:pStyle w:val="Normal"/>
        <w:rPr/>
      </w:pPr>
      <w:r>
        <w:rPr>
          <w:b w:val="false"/>
          <w:color w:val="202723"/>
          <w:sz w:val="21"/>
        </w:rPr>
        <w:t>Only authorized personnel may submit proposals. The approved proposal, estimate version, review record and bid confirmation shall be retained together. Verbal clarifications that affect scope, cost, schedule or risk must be confirmed in writing.</w:t>
      </w:r>
    </w:p>
    <w:p>
      <w:pPr>
        <w:pStyle w:val="Heading3"/>
        <w:rPr/>
      </w:pPr>
      <w:r>
        <w:rPr>
          <w:rFonts w:ascii="Mendl Sans Dusk Medium" w:hAnsi="Mendl Sans Dusk Medium"/>
          <w:b w:val="false"/>
          <w:color w:val="1E392C"/>
          <w:sz w:val="23"/>
        </w:rPr>
        <w:t>7.4 Lessons from outcomes</w:t>
      </w:r>
    </w:p>
    <w:p>
      <w:pPr>
        <w:pStyle w:val="Normal"/>
        <w:rPr/>
      </w:pPr>
      <w:r>
        <w:rPr>
          <w:b w:val="false"/>
          <w:color w:val="202723"/>
          <w:sz w:val="21"/>
        </w:rPr>
        <w:t>Won and lost bids shall be coded and reviewed. The company should distinguish price, relationship, qualifications, capacity, schedule, scope interpretation and no-decision outcomes. Estimating history shall be updated with actual production and buyout results.</w:t>
      </w:r>
      <w:r>
        <w:br w:type="page"/>
      </w:r>
    </w:p>
    <w:p>
      <w:pPr>
        <w:pStyle w:val="Heading2"/>
        <w:keepNext w:val="true"/>
        <w:spacing w:before="0" w:after="120"/>
        <w:rPr/>
      </w:pPr>
      <w:r>
        <w:rPr>
          <w:rFonts w:ascii="Mendl Sans Dusk Medium" w:hAnsi="Mendl Sans Dusk Medium"/>
          <w:b w:val="false"/>
          <w:color w:val="628F79"/>
          <w:sz w:val="26"/>
        </w:rPr>
        <w:t>8. Contract and commercial-risk review</w:t>
      </w:r>
    </w:p>
    <w:p>
      <w:pPr>
        <w:pStyle w:val="Normal"/>
        <w:rPr/>
      </w:pPr>
      <w:r>
        <w:rPr>
          <w:b w:val="false"/>
          <w:color w:val="202723"/>
          <w:sz w:val="21"/>
        </w:rPr>
        <w:t>No work may begin solely because a client says to proceed. Before mobilization, the responsible PM and executive approver must know what written authority exists and what commercial exposure is being accepted.</w:t>
      </w:r>
    </w:p>
    <w:p>
      <w:pPr>
        <w:pStyle w:val="Normal"/>
        <w:rPr/>
      </w:pPr>
      <w:r>
        <w:rPr>
          <w:b w:val="false"/>
          <w:color w:val="202723"/>
          <w:sz w:val="21"/>
        </w:rPr>
        <w:t>Contract review includes:</w:t>
      </w:r>
    </w:p>
    <w:p>
      <w:pPr>
        <w:pStyle w:val="ListBullet"/>
        <w:numPr>
          <w:ilvl w:val="0"/>
          <w:numId w:val="1"/>
        </w:numPr>
        <w:spacing w:lineRule="auto" w:line="276" w:before="0" w:after="80"/>
        <w:ind w:hanging="259" w:start="461"/>
        <w:contextualSpacing/>
        <w:rPr/>
      </w:pPr>
      <w:r>
        <w:rPr>
          <w:b w:val="false"/>
          <w:color w:val="202723"/>
          <w:sz w:val="21"/>
        </w:rPr>
        <w:t>scope and incorporated documents;</w:t>
      </w:r>
    </w:p>
    <w:p>
      <w:pPr>
        <w:pStyle w:val="ListBullet"/>
        <w:numPr>
          <w:ilvl w:val="0"/>
          <w:numId w:val="1"/>
        </w:numPr>
        <w:spacing w:lineRule="auto" w:line="276" w:before="0" w:after="80"/>
        <w:ind w:hanging="259" w:start="461"/>
        <w:contextualSpacing/>
        <w:rPr/>
      </w:pPr>
      <w:r>
        <w:rPr>
          <w:b w:val="false"/>
          <w:color w:val="202723"/>
          <w:sz w:val="21"/>
        </w:rPr>
        <w:t>price, allowances, alternates and contingency;</w:t>
      </w:r>
    </w:p>
    <w:p>
      <w:pPr>
        <w:pStyle w:val="ListBullet"/>
        <w:numPr>
          <w:ilvl w:val="0"/>
          <w:numId w:val="1"/>
        </w:numPr>
        <w:spacing w:lineRule="auto" w:line="276" w:before="0" w:after="80"/>
        <w:ind w:hanging="259" w:start="461"/>
        <w:contextualSpacing/>
        <w:rPr/>
      </w:pPr>
      <w:r>
        <w:rPr>
          <w:b w:val="false"/>
          <w:color w:val="202723"/>
          <w:sz w:val="21"/>
        </w:rPr>
        <w:t>schedule, milestones, delay, acceleration and liquidated damages;</w:t>
      </w:r>
    </w:p>
    <w:p>
      <w:pPr>
        <w:pStyle w:val="ListBullet"/>
        <w:numPr>
          <w:ilvl w:val="0"/>
          <w:numId w:val="1"/>
        </w:numPr>
        <w:spacing w:lineRule="auto" w:line="276" w:before="0" w:after="80"/>
        <w:ind w:hanging="259" w:start="461"/>
        <w:contextualSpacing/>
        <w:rPr/>
      </w:pPr>
      <w:r>
        <w:rPr>
          <w:b w:val="false"/>
          <w:color w:val="202723"/>
          <w:sz w:val="21"/>
        </w:rPr>
        <w:t>payment terms, retainage, pay-if-paid/pay-when-paid and audit rights;</w:t>
      </w:r>
    </w:p>
    <w:p>
      <w:pPr>
        <w:pStyle w:val="ListBullet"/>
        <w:numPr>
          <w:ilvl w:val="0"/>
          <w:numId w:val="1"/>
        </w:numPr>
        <w:spacing w:lineRule="auto" w:line="276" w:before="0" w:after="80"/>
        <w:ind w:hanging="259" w:start="461"/>
        <w:contextualSpacing/>
        <w:rPr/>
      </w:pPr>
      <w:r>
        <w:rPr>
          <w:b w:val="false"/>
          <w:color w:val="202723"/>
          <w:sz w:val="21"/>
        </w:rPr>
        <w:t>notice requirements and time bars;</w:t>
      </w:r>
    </w:p>
    <w:p>
      <w:pPr>
        <w:pStyle w:val="ListBullet"/>
        <w:numPr>
          <w:ilvl w:val="0"/>
          <w:numId w:val="1"/>
        </w:numPr>
        <w:spacing w:lineRule="auto" w:line="276" w:before="0" w:after="80"/>
        <w:ind w:hanging="259" w:start="461"/>
        <w:contextualSpacing/>
        <w:rPr/>
      </w:pPr>
      <w:r>
        <w:rPr>
          <w:b w:val="false"/>
          <w:color w:val="202723"/>
          <w:sz w:val="21"/>
        </w:rPr>
        <w:t>change, differing-site-condition and claims procedures;</w:t>
      </w:r>
    </w:p>
    <w:p>
      <w:pPr>
        <w:pStyle w:val="ListBullet"/>
        <w:numPr>
          <w:ilvl w:val="0"/>
          <w:numId w:val="1"/>
        </w:numPr>
        <w:spacing w:lineRule="auto" w:line="276" w:before="0" w:after="80"/>
        <w:ind w:hanging="259" w:start="461"/>
        <w:contextualSpacing/>
        <w:rPr/>
      </w:pPr>
      <w:r>
        <w:rPr>
          <w:b w:val="false"/>
          <w:color w:val="202723"/>
          <w:sz w:val="21"/>
        </w:rPr>
        <w:t>indemnity, defense, waiver, limitation and consequential damages;</w:t>
      </w:r>
    </w:p>
    <w:p>
      <w:pPr>
        <w:pStyle w:val="ListBullet"/>
        <w:numPr>
          <w:ilvl w:val="0"/>
          <w:numId w:val="1"/>
        </w:numPr>
        <w:spacing w:lineRule="auto" w:line="276" w:before="0" w:after="80"/>
        <w:ind w:hanging="259" w:start="461"/>
        <w:contextualSpacing/>
        <w:rPr/>
      </w:pPr>
      <w:r>
        <w:rPr>
          <w:b w:val="false"/>
          <w:color w:val="202723"/>
          <w:sz w:val="21"/>
        </w:rPr>
        <w:t>insurance, bonding and additional-insured requirements;</w:t>
      </w:r>
    </w:p>
    <w:p>
      <w:pPr>
        <w:pStyle w:val="ListBullet"/>
        <w:numPr>
          <w:ilvl w:val="0"/>
          <w:numId w:val="1"/>
        </w:numPr>
        <w:spacing w:lineRule="auto" w:line="276" w:before="0" w:after="80"/>
        <w:ind w:hanging="259" w:start="461"/>
        <w:contextualSpacing/>
        <w:rPr/>
      </w:pPr>
      <w:r>
        <w:rPr>
          <w:b w:val="false"/>
          <w:color w:val="202723"/>
          <w:sz w:val="21"/>
        </w:rPr>
        <w:t>warranties, correction obligations and closeout conditions;</w:t>
      </w:r>
    </w:p>
    <w:p>
      <w:pPr>
        <w:pStyle w:val="ListBullet"/>
        <w:numPr>
          <w:ilvl w:val="0"/>
          <w:numId w:val="1"/>
        </w:numPr>
        <w:spacing w:lineRule="auto" w:line="276" w:before="0" w:after="80"/>
        <w:ind w:hanging="259" w:start="461"/>
        <w:contextualSpacing/>
        <w:rPr/>
      </w:pPr>
      <w:r>
        <w:rPr>
          <w:b w:val="false"/>
          <w:color w:val="202723"/>
          <w:sz w:val="21"/>
        </w:rPr>
        <w:t>safety, environmental, cybersecurity and confidentiality obligations;</w:t>
      </w:r>
    </w:p>
    <w:p>
      <w:pPr>
        <w:pStyle w:val="ListBullet"/>
        <w:numPr>
          <w:ilvl w:val="0"/>
          <w:numId w:val="1"/>
        </w:numPr>
        <w:spacing w:lineRule="auto" w:line="276" w:before="0" w:after="80"/>
        <w:ind w:hanging="259" w:start="461"/>
        <w:contextualSpacing/>
        <w:rPr/>
      </w:pPr>
      <w:r>
        <w:rPr>
          <w:b w:val="false"/>
          <w:color w:val="202723"/>
          <w:sz w:val="21"/>
        </w:rPr>
        <w:t>dispute resolution, governing law and venue;</w:t>
      </w:r>
    </w:p>
    <w:p>
      <w:pPr>
        <w:pStyle w:val="ListBullet"/>
        <w:numPr>
          <w:ilvl w:val="0"/>
          <w:numId w:val="1"/>
        </w:numPr>
        <w:spacing w:lineRule="auto" w:line="276" w:before="0" w:after="80"/>
        <w:ind w:hanging="259" w:start="461"/>
        <w:contextualSpacing/>
        <w:rPr/>
      </w:pPr>
      <w:r>
        <w:rPr>
          <w:b w:val="false"/>
          <w:color w:val="202723"/>
          <w:sz w:val="21"/>
        </w:rPr>
        <w:t>licensing, permits, prevailing wage and public-works requirements.</w:t>
      </w:r>
    </w:p>
    <w:p>
      <w:pPr>
        <w:pStyle w:val="Normal"/>
        <w:rPr/>
      </w:pPr>
      <w:r>
        <w:rPr>
          <w:b w:val="false"/>
          <w:color w:val="202723"/>
          <w:sz w:val="21"/>
        </w:rPr>
        <w:t>High-risk terms shall be routed to qualified construction counsel or the appropriate professional. Internal playbooks support review but do not replace legal advice.</w:t>
      </w:r>
    </w:p>
    <w:p>
      <w:pPr>
        <w:pStyle w:val="Normal"/>
        <w:rPr/>
      </w:pPr>
      <w:r>
        <w:rPr>
          <w:b w:val="false"/>
          <w:color w:val="202723"/>
          <w:sz w:val="21"/>
        </w:rPr>
        <w:t>The project team shall create a contract obligations matrix at award, including notices, deliverables, dates, responsible owners and evidence location.</w:t>
      </w:r>
      <w:r>
        <w:br w:type="page"/>
      </w:r>
    </w:p>
    <w:p>
      <w:pPr>
        <w:pStyle w:val="Heading1"/>
        <w:keepNext w:val="true"/>
        <w:spacing w:before="0" w:after="160"/>
        <w:rPr/>
      </w:pPr>
      <w:r>
        <w:rPr>
          <w:rFonts w:ascii="Mendl Sans Dusk Bold" w:hAnsi="Mendl Sans Dusk Bold"/>
          <w:b/>
          <w:color w:val="386851"/>
          <w:sz w:val="32"/>
        </w:rPr>
        <w:t>Part III - Project delivery</w:t>
      </w:r>
      <w:r>
        <w:br w:type="page"/>
      </w:r>
    </w:p>
    <w:p>
      <w:pPr>
        <w:pStyle w:val="Heading2"/>
        <w:keepNext w:val="true"/>
        <w:spacing w:before="0" w:after="120"/>
        <w:rPr/>
      </w:pPr>
      <w:r>
        <w:rPr>
          <w:rFonts w:ascii="Mendl Sans Dusk Medium" w:hAnsi="Mendl Sans Dusk Medium"/>
          <w:b w:val="false"/>
          <w:color w:val="628F79"/>
          <w:sz w:val="26"/>
        </w:rPr>
        <w:t>9. Project lifecycle and stage gates</w:t>
      </w:r>
    </w:p>
    <w:p>
      <w:pPr>
        <w:pStyle w:val="Normal"/>
        <w:rPr/>
      </w:pPr>
      <w:r>
        <w:rPr>
          <w:b w:val="false"/>
          <w:color w:val="202723"/>
          <w:sz w:val="21"/>
        </w:rPr>
        <w:t>MH Construction, INC uses eight lifecycle gates. A gate is complete only when required evidence is accepted or a documented exception is approved.</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Gate</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Decision</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Minimum evidence</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G0 Opportunity</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Pursue?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Go/no-go record, client/project profile, capacity review.</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G1 Bid release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Submit?</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Reviewed estimate, proposal, risk exceptions, approval.</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G2 Contract acceptance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Commit?</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Contract review, insurance/bonding, authority approval.</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G3 Operations handoff</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Ready to transfer?</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Basis of estimate, scope map, risk register, commitments, turnover meeting.</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G4 Mobilization</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Ready to start?</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Budget, schedule, staffing, Procore, SSSP, quality plan, logistics, permits.</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G5 Active control</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On plan?</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Weekly updates, forecast, procurement, change, quality and safety evidence.</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G6 Substantial completion</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Ready to turn over?</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Punch list, testing, O&amp;M, training, certificates, as-builts.</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G7 Final closeout</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Ready to close?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Final payment, releases, warranties, archive, lessons and client follow-up.</w:t>
            </w:r>
          </w:p>
        </w:tc>
      </w:tr>
    </w:tbl>
    <w:p>
      <w:pPr>
        <w:pStyle w:val="Normal"/>
        <w:spacing w:before="0" w:after="20"/>
        <w:rPr/>
      </w:pPr>
      <w:r>
        <w:rPr/>
      </w:r>
      <w:r>
        <w:br w:type="page"/>
      </w:r>
    </w:p>
    <w:p>
      <w:pPr>
        <w:pStyle w:val="Heading2"/>
        <w:keepNext w:val="true"/>
        <w:spacing w:before="0" w:after="120"/>
        <w:rPr/>
      </w:pPr>
      <w:r>
        <w:rPr>
          <w:rFonts w:ascii="Mendl Sans Dusk Medium" w:hAnsi="Mendl Sans Dusk Medium"/>
          <w:b w:val="false"/>
          <w:color w:val="628F79"/>
          <w:sz w:val="26"/>
        </w:rPr>
        <w:t>10. Sales-to-operations handoff</w:t>
      </w:r>
    </w:p>
    <w:p>
      <w:pPr>
        <w:pStyle w:val="Normal"/>
        <w:rPr/>
      </w:pPr>
      <w:r>
        <w:rPr>
          <w:b w:val="false"/>
          <w:color w:val="202723"/>
          <w:sz w:val="21"/>
        </w:rPr>
        <w:t>The handoff must transfer knowledge, not merely files. Participants include business development, estimator, executive sponsor, PM, superintendent, project engineer, safety, finance and other needed specialists.</w:t>
      </w:r>
    </w:p>
    <w:p>
      <w:pPr>
        <w:pStyle w:val="Normal"/>
        <w:rPr/>
      </w:pPr>
      <w:r>
        <w:rPr>
          <w:b w:val="false"/>
          <w:color w:val="202723"/>
          <w:sz w:val="21"/>
        </w:rPr>
        <w:t>Minimum content includes:</w:t>
      </w:r>
    </w:p>
    <w:p>
      <w:pPr>
        <w:pStyle w:val="ListBullet"/>
        <w:numPr>
          <w:ilvl w:val="0"/>
          <w:numId w:val="1"/>
        </w:numPr>
        <w:spacing w:lineRule="auto" w:line="276" w:before="0" w:after="80"/>
        <w:ind w:hanging="259" w:start="461"/>
        <w:contextualSpacing/>
        <w:rPr/>
      </w:pPr>
      <w:r>
        <w:rPr>
          <w:b w:val="false"/>
          <w:color w:val="202723"/>
          <w:sz w:val="21"/>
        </w:rPr>
        <w:t>executed contract and proposal reconciliation;</w:t>
      </w:r>
    </w:p>
    <w:p>
      <w:pPr>
        <w:pStyle w:val="ListBullet"/>
        <w:numPr>
          <w:ilvl w:val="0"/>
          <w:numId w:val="1"/>
        </w:numPr>
        <w:spacing w:lineRule="auto" w:line="276" w:before="0" w:after="80"/>
        <w:ind w:hanging="259" w:start="461"/>
        <w:contextualSpacing/>
        <w:rPr/>
      </w:pPr>
      <w:r>
        <w:rPr>
          <w:b w:val="false"/>
          <w:color w:val="202723"/>
          <w:sz w:val="21"/>
        </w:rPr>
        <w:t>scope inclusions, exclusions, allowances and alternates;</w:t>
      </w:r>
    </w:p>
    <w:p>
      <w:pPr>
        <w:pStyle w:val="ListBullet"/>
        <w:numPr>
          <w:ilvl w:val="0"/>
          <w:numId w:val="1"/>
        </w:numPr>
        <w:spacing w:lineRule="auto" w:line="276" w:before="0" w:after="80"/>
        <w:ind w:hanging="259" w:start="461"/>
        <w:contextualSpacing/>
        <w:rPr/>
      </w:pPr>
      <w:r>
        <w:rPr>
          <w:b w:val="false"/>
          <w:color w:val="202723"/>
          <w:sz w:val="21"/>
        </w:rPr>
        <w:t>estimate breakdown, subcontractor coverage and buyout strategy;</w:t>
      </w:r>
    </w:p>
    <w:p>
      <w:pPr>
        <w:pStyle w:val="ListBullet"/>
        <w:numPr>
          <w:ilvl w:val="0"/>
          <w:numId w:val="1"/>
        </w:numPr>
        <w:spacing w:lineRule="auto" w:line="276" w:before="0" w:after="80"/>
        <w:ind w:hanging="259" w:start="461"/>
        <w:contextualSpacing/>
        <w:rPr/>
      </w:pPr>
      <w:r>
        <w:rPr>
          <w:b w:val="false"/>
          <w:color w:val="202723"/>
          <w:sz w:val="21"/>
        </w:rPr>
        <w:t>owner/architect relationships and communication expectations;</w:t>
      </w:r>
    </w:p>
    <w:p>
      <w:pPr>
        <w:pStyle w:val="ListBullet"/>
        <w:numPr>
          <w:ilvl w:val="0"/>
          <w:numId w:val="1"/>
        </w:numPr>
        <w:spacing w:lineRule="auto" w:line="276" w:before="0" w:after="80"/>
        <w:ind w:hanging="259" w:start="461"/>
        <w:contextualSpacing/>
        <w:rPr/>
      </w:pPr>
      <w:r>
        <w:rPr>
          <w:b w:val="false"/>
          <w:color w:val="202723"/>
          <w:sz w:val="21"/>
        </w:rPr>
        <w:t>milestones, schedule assumptions and constraints;</w:t>
      </w:r>
    </w:p>
    <w:p>
      <w:pPr>
        <w:pStyle w:val="ListBullet"/>
        <w:numPr>
          <w:ilvl w:val="0"/>
          <w:numId w:val="1"/>
        </w:numPr>
        <w:spacing w:lineRule="auto" w:line="276" w:before="0" w:after="80"/>
        <w:ind w:hanging="259" w:start="461"/>
        <w:contextualSpacing/>
        <w:rPr/>
      </w:pPr>
      <w:r>
        <w:rPr>
          <w:b w:val="false"/>
          <w:color w:val="202723"/>
          <w:sz w:val="21"/>
        </w:rPr>
        <w:t>contract notices and commercial-risk items;</w:t>
      </w:r>
    </w:p>
    <w:p>
      <w:pPr>
        <w:pStyle w:val="ListBullet"/>
        <w:numPr>
          <w:ilvl w:val="0"/>
          <w:numId w:val="1"/>
        </w:numPr>
        <w:spacing w:lineRule="auto" w:line="276" w:before="0" w:after="80"/>
        <w:ind w:hanging="259" w:start="461"/>
        <w:contextualSpacing/>
        <w:rPr/>
      </w:pPr>
      <w:r>
        <w:rPr>
          <w:b w:val="false"/>
          <w:color w:val="202723"/>
          <w:sz w:val="21"/>
        </w:rPr>
        <w:t>known safety, quality, environmental and logistics risks;</w:t>
      </w:r>
    </w:p>
    <w:p>
      <w:pPr>
        <w:pStyle w:val="ListBullet"/>
        <w:numPr>
          <w:ilvl w:val="0"/>
          <w:numId w:val="1"/>
        </w:numPr>
        <w:spacing w:lineRule="auto" w:line="276" w:before="0" w:after="80"/>
        <w:ind w:hanging="259" w:start="461"/>
        <w:contextualSpacing/>
        <w:rPr/>
      </w:pPr>
      <w:r>
        <w:rPr>
          <w:b w:val="false"/>
          <w:color w:val="202723"/>
          <w:sz w:val="21"/>
        </w:rPr>
        <w:t>permits, licenses, bonds and insurance deliverables;</w:t>
      </w:r>
    </w:p>
    <w:p>
      <w:pPr>
        <w:pStyle w:val="ListBullet"/>
        <w:numPr>
          <w:ilvl w:val="0"/>
          <w:numId w:val="1"/>
        </w:numPr>
        <w:spacing w:lineRule="auto" w:line="276" w:before="0" w:after="80"/>
        <w:ind w:hanging="259" w:start="461"/>
        <w:contextualSpacing/>
        <w:rPr/>
      </w:pPr>
      <w:r>
        <w:rPr>
          <w:b w:val="false"/>
          <w:color w:val="202723"/>
          <w:sz w:val="21"/>
        </w:rPr>
        <w:t>long-lead items and early commitments;</w:t>
      </w:r>
    </w:p>
    <w:p>
      <w:pPr>
        <w:pStyle w:val="ListBullet"/>
        <w:numPr>
          <w:ilvl w:val="0"/>
          <w:numId w:val="1"/>
        </w:numPr>
        <w:spacing w:lineRule="auto" w:line="276" w:before="0" w:after="80"/>
        <w:ind w:hanging="259" w:start="461"/>
        <w:contextualSpacing/>
        <w:rPr/>
      </w:pPr>
      <w:r>
        <w:rPr>
          <w:b w:val="false"/>
          <w:color w:val="202723"/>
          <w:sz w:val="21"/>
        </w:rPr>
        <w:t>unresolved decisions with owner and due date.</w:t>
      </w:r>
    </w:p>
    <w:p>
      <w:pPr>
        <w:pStyle w:val="Normal"/>
        <w:rPr/>
      </w:pPr>
      <w:r>
        <w:rPr>
          <w:b w:val="false"/>
          <w:color w:val="202723"/>
          <w:sz w:val="21"/>
        </w:rPr>
        <w:t>The PM must document acceptance and identify incomplete handoff items.</w:t>
      </w:r>
      <w:r>
        <w:br w:type="page"/>
      </w:r>
    </w:p>
    <w:p>
      <w:pPr>
        <w:pStyle w:val="Heading2"/>
        <w:keepNext w:val="true"/>
        <w:spacing w:before="0" w:after="120"/>
        <w:rPr/>
      </w:pPr>
      <w:r>
        <w:rPr>
          <w:rFonts w:ascii="Mendl Sans Dusk Medium" w:hAnsi="Mendl Sans Dusk Medium"/>
          <w:b w:val="false"/>
          <w:color w:val="628F79"/>
          <w:sz w:val="26"/>
        </w:rPr>
        <w:t>11. Project startup and mobilization</w:t>
      </w:r>
    </w:p>
    <w:p>
      <w:pPr>
        <w:pStyle w:val="Normal"/>
        <w:rPr/>
      </w:pPr>
      <w:r>
        <w:rPr>
          <w:b w:val="false"/>
          <w:color w:val="202723"/>
          <w:sz w:val="21"/>
        </w:rPr>
        <w:t>Before field work, the PM and superintendent shall establish:</w:t>
      </w:r>
    </w:p>
    <w:p>
      <w:pPr>
        <w:pStyle w:val="ListBullet"/>
        <w:numPr>
          <w:ilvl w:val="0"/>
          <w:numId w:val="1"/>
        </w:numPr>
        <w:spacing w:lineRule="auto" w:line="276" w:before="0" w:after="80"/>
        <w:ind w:hanging="259" w:start="461"/>
        <w:contextualSpacing/>
        <w:rPr/>
      </w:pPr>
      <w:r>
        <w:rPr>
          <w:b w:val="false"/>
          <w:color w:val="202723"/>
          <w:sz w:val="21"/>
        </w:rPr>
        <w:t>project directory and permission structure;</w:t>
      </w:r>
    </w:p>
    <w:p>
      <w:pPr>
        <w:pStyle w:val="ListBullet"/>
        <w:numPr>
          <w:ilvl w:val="0"/>
          <w:numId w:val="1"/>
        </w:numPr>
        <w:spacing w:lineRule="auto" w:line="276" w:before="0" w:after="80"/>
        <w:ind w:hanging="259" w:start="461"/>
        <w:contextualSpacing/>
        <w:rPr/>
      </w:pPr>
      <w:r>
        <w:rPr>
          <w:b w:val="false"/>
          <w:color w:val="202723"/>
          <w:sz w:val="21"/>
        </w:rPr>
        <w:t>contract-document and drawing/specification controls;</w:t>
      </w:r>
    </w:p>
    <w:p>
      <w:pPr>
        <w:pStyle w:val="ListBullet"/>
        <w:numPr>
          <w:ilvl w:val="0"/>
          <w:numId w:val="1"/>
        </w:numPr>
        <w:spacing w:lineRule="auto" w:line="276" w:before="0" w:after="80"/>
        <w:ind w:hanging="259" w:start="461"/>
        <w:contextualSpacing/>
        <w:rPr/>
      </w:pPr>
      <w:r>
        <w:rPr>
          <w:b w:val="false"/>
          <w:color w:val="202723"/>
          <w:sz w:val="21"/>
        </w:rPr>
        <w:t>project contact and responsibility matrices;</w:t>
      </w:r>
    </w:p>
    <w:p>
      <w:pPr>
        <w:pStyle w:val="ListBullet"/>
        <w:numPr>
          <w:ilvl w:val="0"/>
          <w:numId w:val="1"/>
        </w:numPr>
        <w:spacing w:lineRule="auto" w:line="276" w:before="0" w:after="80"/>
        <w:ind w:hanging="259" w:start="461"/>
        <w:contextualSpacing/>
        <w:rPr/>
      </w:pPr>
      <w:r>
        <w:rPr>
          <w:b w:val="false"/>
          <w:color w:val="202723"/>
          <w:sz w:val="21"/>
        </w:rPr>
        <w:t>baseline budget, cost codes and commitment plan;</w:t>
      </w:r>
    </w:p>
    <w:p>
      <w:pPr>
        <w:pStyle w:val="ListBullet"/>
        <w:numPr>
          <w:ilvl w:val="0"/>
          <w:numId w:val="1"/>
        </w:numPr>
        <w:spacing w:lineRule="auto" w:line="276" w:before="0" w:after="80"/>
        <w:ind w:hanging="259" w:start="461"/>
        <w:contextualSpacing/>
        <w:rPr/>
      </w:pPr>
      <w:r>
        <w:rPr>
          <w:b w:val="false"/>
          <w:color w:val="202723"/>
          <w:sz w:val="21"/>
        </w:rPr>
        <w:t>baseline schedule and three-week-lookahead process;</w:t>
      </w:r>
    </w:p>
    <w:p>
      <w:pPr>
        <w:pStyle w:val="ListBullet"/>
        <w:numPr>
          <w:ilvl w:val="0"/>
          <w:numId w:val="1"/>
        </w:numPr>
        <w:spacing w:lineRule="auto" w:line="276" w:before="0" w:after="80"/>
        <w:ind w:hanging="259" w:start="461"/>
        <w:contextualSpacing/>
        <w:rPr/>
      </w:pPr>
      <w:r>
        <w:rPr>
          <w:b w:val="false"/>
          <w:color w:val="202723"/>
          <w:sz w:val="21"/>
        </w:rPr>
        <w:t>procurement and submittal logs;</w:t>
      </w:r>
    </w:p>
    <w:p>
      <w:pPr>
        <w:pStyle w:val="ListBullet"/>
        <w:numPr>
          <w:ilvl w:val="0"/>
          <w:numId w:val="1"/>
        </w:numPr>
        <w:spacing w:lineRule="auto" w:line="276" w:before="0" w:after="80"/>
        <w:ind w:hanging="259" w:start="461"/>
        <w:contextualSpacing/>
        <w:rPr/>
      </w:pPr>
      <w:r>
        <w:rPr>
          <w:b w:val="false"/>
          <w:color w:val="202723"/>
          <w:sz w:val="21"/>
        </w:rPr>
        <w:t>RFI, change-event, meeting and correspondence workflows;</w:t>
      </w:r>
    </w:p>
    <w:p>
      <w:pPr>
        <w:pStyle w:val="ListBullet"/>
        <w:numPr>
          <w:ilvl w:val="0"/>
          <w:numId w:val="1"/>
        </w:numPr>
        <w:spacing w:lineRule="auto" w:line="276" w:before="0" w:after="80"/>
        <w:ind w:hanging="259" w:start="461"/>
        <w:contextualSpacing/>
        <w:rPr/>
      </w:pPr>
      <w:r>
        <w:rPr>
          <w:b w:val="false"/>
          <w:color w:val="202723"/>
          <w:sz w:val="21"/>
        </w:rPr>
        <w:t>site logistics, security, access and delivery controls;</w:t>
      </w:r>
    </w:p>
    <w:p>
      <w:pPr>
        <w:pStyle w:val="ListBullet"/>
        <w:numPr>
          <w:ilvl w:val="0"/>
          <w:numId w:val="1"/>
        </w:numPr>
        <w:spacing w:lineRule="auto" w:line="276" w:before="0" w:after="80"/>
        <w:ind w:hanging="259" w:start="461"/>
        <w:contextualSpacing/>
        <w:rPr/>
      </w:pPr>
      <w:r>
        <w:rPr>
          <w:b w:val="false"/>
          <w:color w:val="202723"/>
          <w:sz w:val="21"/>
        </w:rPr>
        <w:t>jurisdiction-selected safety plan, emergency plan and hazard communication;</w:t>
      </w:r>
    </w:p>
    <w:p>
      <w:pPr>
        <w:pStyle w:val="ListBullet"/>
        <w:numPr>
          <w:ilvl w:val="0"/>
          <w:numId w:val="1"/>
        </w:numPr>
        <w:spacing w:lineRule="auto" w:line="276" w:before="0" w:after="80"/>
        <w:ind w:hanging="259" w:start="461"/>
        <w:contextualSpacing/>
        <w:rPr/>
      </w:pPr>
      <w:r>
        <w:rPr>
          <w:b w:val="false"/>
          <w:color w:val="202723"/>
          <w:sz w:val="21"/>
        </w:rPr>
        <w:t>quality inspection and test plan;</w:t>
      </w:r>
    </w:p>
    <w:p>
      <w:pPr>
        <w:pStyle w:val="ListBullet"/>
        <w:numPr>
          <w:ilvl w:val="0"/>
          <w:numId w:val="1"/>
        </w:numPr>
        <w:spacing w:lineRule="auto" w:line="276" w:before="0" w:after="80"/>
        <w:ind w:hanging="259" w:start="461"/>
        <w:contextualSpacing/>
        <w:rPr/>
      </w:pPr>
      <w:r>
        <w:rPr>
          <w:b w:val="false"/>
          <w:color w:val="202723"/>
          <w:sz w:val="21"/>
        </w:rPr>
        <w:t>reporting cadence and owner meeting format;</w:t>
      </w:r>
    </w:p>
    <w:p>
      <w:pPr>
        <w:pStyle w:val="ListBullet"/>
        <w:numPr>
          <w:ilvl w:val="0"/>
          <w:numId w:val="1"/>
        </w:numPr>
        <w:spacing w:lineRule="auto" w:line="276" w:before="0" w:after="80"/>
        <w:ind w:hanging="259" w:start="461"/>
        <w:contextualSpacing/>
        <w:rPr/>
      </w:pPr>
      <w:r>
        <w:rPr>
          <w:b w:val="false"/>
          <w:color w:val="202723"/>
          <w:sz w:val="21"/>
        </w:rPr>
        <w:t>closeout requirements from the beginning.</w:t>
      </w:r>
    </w:p>
    <w:p>
      <w:pPr>
        <w:pStyle w:val="Normal"/>
        <w:rPr/>
      </w:pPr>
      <w:r>
        <w:rPr>
          <w:b w:val="false"/>
          <w:color w:val="202723"/>
          <w:sz w:val="21"/>
        </w:rPr>
        <w:t>Mobilization may be conditional when early work is authorized, but the exception must identify what is authorized, what is prohibited, who approved it and when full controls will be complete.</w:t>
      </w:r>
      <w:r>
        <w:br w:type="page"/>
      </w:r>
    </w:p>
    <w:p>
      <w:pPr>
        <w:pStyle w:val="Heading2"/>
        <w:keepNext w:val="true"/>
        <w:spacing w:before="0" w:after="120"/>
        <w:rPr/>
      </w:pPr>
      <w:r>
        <w:rPr>
          <w:rFonts w:ascii="Mendl Sans Dusk Medium" w:hAnsi="Mendl Sans Dusk Medium"/>
          <w:b w:val="false"/>
          <w:color w:val="628F79"/>
          <w:sz w:val="26"/>
        </w:rPr>
        <w:t>12. Schedule and production control</w:t>
      </w:r>
    </w:p>
    <w:p>
      <w:pPr>
        <w:pStyle w:val="Normal"/>
        <w:rPr/>
      </w:pPr>
      <w:r>
        <w:rPr>
          <w:b w:val="false"/>
          <w:color w:val="202723"/>
          <w:sz w:val="21"/>
        </w:rPr>
        <w:t>The project schedule shall reflect contract milestones, permits, submittals, procurement, owner decisions, labor/equipment needs, inspections, commissioning and closeout. The baseline requires PM and superintendent acceptance.</w:t>
      </w:r>
    </w:p>
    <w:p>
      <w:pPr>
        <w:pStyle w:val="Normal"/>
        <w:rPr/>
      </w:pPr>
      <w:r>
        <w:rPr>
          <w:b w:val="false"/>
          <w:color w:val="202723"/>
          <w:sz w:val="21"/>
        </w:rPr>
        <w:t>The superintendent maintains a rolling three-week lookahead that:</w:t>
      </w:r>
    </w:p>
    <w:p>
      <w:pPr>
        <w:pStyle w:val="ListBullet"/>
        <w:numPr>
          <w:ilvl w:val="0"/>
          <w:numId w:val="1"/>
        </w:numPr>
        <w:spacing w:lineRule="auto" w:line="276" w:before="0" w:after="80"/>
        <w:ind w:hanging="259" w:start="461"/>
        <w:contextualSpacing/>
        <w:rPr/>
      </w:pPr>
      <w:r>
        <w:rPr>
          <w:b w:val="false"/>
          <w:color w:val="202723"/>
          <w:sz w:val="21"/>
        </w:rPr>
        <w:t>identifies activities by location and responsible trade;</w:t>
      </w:r>
    </w:p>
    <w:p>
      <w:pPr>
        <w:pStyle w:val="ListBullet"/>
        <w:numPr>
          <w:ilvl w:val="0"/>
          <w:numId w:val="1"/>
        </w:numPr>
        <w:spacing w:lineRule="auto" w:line="276" w:before="0" w:after="80"/>
        <w:ind w:hanging="259" w:start="461"/>
        <w:contextualSpacing/>
        <w:rPr/>
      </w:pPr>
      <w:r>
        <w:rPr>
          <w:b w:val="false"/>
          <w:color w:val="202723"/>
          <w:sz w:val="21"/>
        </w:rPr>
        <w:t>shows constraints and required decisions;</w:t>
      </w:r>
    </w:p>
    <w:p>
      <w:pPr>
        <w:pStyle w:val="ListBullet"/>
        <w:numPr>
          <w:ilvl w:val="0"/>
          <w:numId w:val="1"/>
        </w:numPr>
        <w:spacing w:lineRule="auto" w:line="276" w:before="0" w:after="80"/>
        <w:ind w:hanging="259" w:start="461"/>
        <w:contextualSpacing/>
        <w:rPr/>
      </w:pPr>
      <w:r>
        <w:rPr>
          <w:b w:val="false"/>
          <w:color w:val="202723"/>
          <w:sz w:val="21"/>
        </w:rPr>
        <w:t>aligns inspections, permits, materials and equipment;</w:t>
      </w:r>
    </w:p>
    <w:p>
      <w:pPr>
        <w:pStyle w:val="ListBullet"/>
        <w:numPr>
          <w:ilvl w:val="0"/>
          <w:numId w:val="1"/>
        </w:numPr>
        <w:spacing w:lineRule="auto" w:line="276" w:before="0" w:after="80"/>
        <w:ind w:hanging="259" w:start="461"/>
        <w:contextualSpacing/>
        <w:rPr/>
      </w:pPr>
      <w:r>
        <w:rPr>
          <w:b w:val="false"/>
          <w:color w:val="202723"/>
          <w:sz w:val="21"/>
        </w:rPr>
        <w:t>anticipates trade stacking and access conflicts;</w:t>
      </w:r>
    </w:p>
    <w:p>
      <w:pPr>
        <w:pStyle w:val="ListBullet"/>
        <w:numPr>
          <w:ilvl w:val="0"/>
          <w:numId w:val="1"/>
        </w:numPr>
        <w:spacing w:lineRule="auto" w:line="276" w:before="0" w:after="80"/>
        <w:ind w:hanging="259" w:start="461"/>
        <w:contextualSpacing/>
        <w:rPr/>
      </w:pPr>
      <w:r>
        <w:rPr>
          <w:b w:val="false"/>
          <w:color w:val="202723"/>
          <w:sz w:val="21"/>
        </w:rPr>
        <w:t>identifies safety and quality planning needs;</w:t>
      </w:r>
    </w:p>
    <w:p>
      <w:pPr>
        <w:pStyle w:val="ListBullet"/>
        <w:numPr>
          <w:ilvl w:val="0"/>
          <w:numId w:val="1"/>
        </w:numPr>
        <w:spacing w:lineRule="auto" w:line="276" w:before="0" w:after="80"/>
        <w:ind w:hanging="259" w:start="461"/>
        <w:contextualSpacing/>
        <w:rPr/>
      </w:pPr>
      <w:r>
        <w:rPr>
          <w:b w:val="false"/>
          <w:color w:val="202723"/>
          <w:sz w:val="21"/>
        </w:rPr>
        <w:t>records completed work and variance.</w:t>
      </w:r>
    </w:p>
    <w:p>
      <w:pPr>
        <w:pStyle w:val="Normal"/>
        <w:rPr/>
      </w:pPr>
      <w:r>
        <w:rPr>
          <w:b w:val="false"/>
          <w:color w:val="202723"/>
          <w:sz w:val="21"/>
        </w:rPr>
        <w:t>Schedule updates must distinguish actual progress, approved changes, pending impacts and recovery actions. Material delay must trigger timely notice under the contract.</w:t>
      </w:r>
      <w:r>
        <w:br w:type="page"/>
      </w:r>
    </w:p>
    <w:p>
      <w:pPr>
        <w:pStyle w:val="Heading2"/>
        <w:keepNext w:val="true"/>
        <w:spacing w:before="0" w:after="120"/>
        <w:rPr/>
      </w:pPr>
      <w:r>
        <w:rPr>
          <w:rFonts w:ascii="Mendl Sans Dusk Medium" w:hAnsi="Mendl Sans Dusk Medium"/>
          <w:b w:val="false"/>
          <w:color w:val="628F79"/>
          <w:sz w:val="26"/>
        </w:rPr>
        <w:t>13. Information, RFI and submittal control</w:t>
      </w:r>
    </w:p>
    <w:p>
      <w:pPr>
        <w:pStyle w:val="Normal"/>
        <w:rPr/>
      </w:pPr>
      <w:r>
        <w:rPr>
          <w:b w:val="false"/>
          <w:color w:val="202723"/>
          <w:sz w:val="21"/>
        </w:rPr>
        <w:t>Project information shall be issued from the approved system of record. Current drawings and specifications must be identifiable in the field.</w:t>
      </w:r>
    </w:p>
    <w:p>
      <w:pPr>
        <w:pStyle w:val="Normal"/>
        <w:rPr/>
      </w:pPr>
      <w:r>
        <w:rPr>
          <w:b w:val="false"/>
          <w:color w:val="202723"/>
          <w:sz w:val="21"/>
        </w:rPr>
        <w:t>RFIs shall state the conflict or missing information, show the relevant documents, propose a solution when appropriate, and identify cost/schedule impact without hiding it. Submittals shall be checked for completeness, contract alignment and coordination before forwarding.</w:t>
      </w:r>
    </w:p>
    <w:p>
      <w:pPr>
        <w:pStyle w:val="Normal"/>
        <w:rPr/>
      </w:pPr>
      <w:r>
        <w:rPr>
          <w:b w:val="false"/>
          <w:color w:val="202723"/>
          <w:sz w:val="21"/>
        </w:rPr>
        <w:t>No response is implemented if it creates an unapproved scope, cost, schedule, code, safety or design change. Design decisions remain with the responsible design professional.</w:t>
      </w:r>
      <w:r>
        <w:br w:type="page"/>
      </w:r>
    </w:p>
    <w:p>
      <w:pPr>
        <w:pStyle w:val="Heading2"/>
        <w:keepNext w:val="true"/>
        <w:spacing w:before="0" w:after="120"/>
        <w:rPr/>
      </w:pPr>
      <w:r>
        <w:rPr>
          <w:rFonts w:ascii="Mendl Sans Dusk Medium" w:hAnsi="Mendl Sans Dusk Medium"/>
          <w:b w:val="false"/>
          <w:color w:val="628F79"/>
          <w:sz w:val="26"/>
        </w:rPr>
        <w:t>14. Change management</w:t>
      </w:r>
    </w:p>
    <w:p>
      <w:pPr>
        <w:pStyle w:val="Normal"/>
        <w:rPr/>
      </w:pPr>
      <w:r>
        <w:rPr>
          <w:b w:val="false"/>
          <w:color w:val="202723"/>
          <w:sz w:val="21"/>
        </w:rPr>
        <w:t>Potential change events shall be logged when first recognized, not after cost is incurred. The record includes:</w:t>
      </w:r>
    </w:p>
    <w:p>
      <w:pPr>
        <w:pStyle w:val="ListBullet"/>
        <w:numPr>
          <w:ilvl w:val="0"/>
          <w:numId w:val="1"/>
        </w:numPr>
        <w:spacing w:lineRule="auto" w:line="276" w:before="0" w:after="80"/>
        <w:ind w:hanging="259" w:start="461"/>
        <w:contextualSpacing/>
        <w:rPr/>
      </w:pPr>
      <w:r>
        <w:rPr>
          <w:b w:val="false"/>
          <w:color w:val="202723"/>
          <w:sz w:val="21"/>
        </w:rPr>
        <w:t>cause and initiating party;</w:t>
      </w:r>
    </w:p>
    <w:p>
      <w:pPr>
        <w:pStyle w:val="ListBullet"/>
        <w:numPr>
          <w:ilvl w:val="0"/>
          <w:numId w:val="1"/>
        </w:numPr>
        <w:spacing w:lineRule="auto" w:line="276" w:before="0" w:after="80"/>
        <w:ind w:hanging="259" w:start="461"/>
        <w:contextualSpacing/>
        <w:rPr/>
      </w:pPr>
      <w:r>
        <w:rPr>
          <w:b w:val="false"/>
          <w:color w:val="202723"/>
          <w:sz w:val="21"/>
        </w:rPr>
        <w:t>scope narrative and document reference;</w:t>
      </w:r>
    </w:p>
    <w:p>
      <w:pPr>
        <w:pStyle w:val="ListBullet"/>
        <w:numPr>
          <w:ilvl w:val="0"/>
          <w:numId w:val="1"/>
        </w:numPr>
        <w:spacing w:lineRule="auto" w:line="276" w:before="0" w:after="80"/>
        <w:ind w:hanging="259" w:start="461"/>
        <w:contextualSpacing/>
        <w:rPr/>
      </w:pPr>
      <w:r>
        <w:rPr>
          <w:b w:val="false"/>
          <w:color w:val="202723"/>
          <w:sz w:val="21"/>
        </w:rPr>
        <w:t>notice deadline and notice sent;</w:t>
      </w:r>
    </w:p>
    <w:p>
      <w:pPr>
        <w:pStyle w:val="ListBullet"/>
        <w:numPr>
          <w:ilvl w:val="0"/>
          <w:numId w:val="1"/>
        </w:numPr>
        <w:spacing w:lineRule="auto" w:line="276" w:before="0" w:after="80"/>
        <w:ind w:hanging="259" w:start="461"/>
        <w:contextualSpacing/>
        <w:rPr/>
      </w:pPr>
      <w:r>
        <w:rPr>
          <w:b w:val="false"/>
          <w:color w:val="202723"/>
          <w:sz w:val="21"/>
        </w:rPr>
        <w:t>labor, material, equipment and subcontractor cost;</w:t>
      </w:r>
    </w:p>
    <w:p>
      <w:pPr>
        <w:pStyle w:val="ListBullet"/>
        <w:numPr>
          <w:ilvl w:val="0"/>
          <w:numId w:val="1"/>
        </w:numPr>
        <w:spacing w:lineRule="auto" w:line="276" w:before="0" w:after="80"/>
        <w:ind w:hanging="259" w:start="461"/>
        <w:contextualSpacing/>
        <w:rPr/>
      </w:pPr>
      <w:r>
        <w:rPr>
          <w:b w:val="false"/>
          <w:color w:val="202723"/>
          <w:sz w:val="21"/>
        </w:rPr>
        <w:t>markup and pricing basis;</w:t>
      </w:r>
    </w:p>
    <w:p>
      <w:pPr>
        <w:pStyle w:val="ListBullet"/>
        <w:numPr>
          <w:ilvl w:val="0"/>
          <w:numId w:val="1"/>
        </w:numPr>
        <w:spacing w:lineRule="auto" w:line="276" w:before="0" w:after="80"/>
        <w:ind w:hanging="259" w:start="461"/>
        <w:contextualSpacing/>
        <w:rPr/>
      </w:pPr>
      <w:r>
        <w:rPr>
          <w:b w:val="false"/>
          <w:color w:val="202723"/>
          <w:sz w:val="21"/>
        </w:rPr>
        <w:t>schedule impact and mitigation;</w:t>
      </w:r>
    </w:p>
    <w:p>
      <w:pPr>
        <w:pStyle w:val="ListBullet"/>
        <w:numPr>
          <w:ilvl w:val="0"/>
          <w:numId w:val="1"/>
        </w:numPr>
        <w:spacing w:lineRule="auto" w:line="276" w:before="0" w:after="80"/>
        <w:ind w:hanging="259" w:start="461"/>
        <w:contextualSpacing/>
        <w:rPr/>
      </w:pPr>
      <w:r>
        <w:rPr>
          <w:b w:val="false"/>
          <w:color w:val="202723"/>
          <w:sz w:val="21"/>
        </w:rPr>
        <w:t>status, aging and responsible owner;</w:t>
      </w:r>
    </w:p>
    <w:p>
      <w:pPr>
        <w:pStyle w:val="ListBullet"/>
        <w:numPr>
          <w:ilvl w:val="0"/>
          <w:numId w:val="1"/>
        </w:numPr>
        <w:spacing w:lineRule="auto" w:line="276" w:before="0" w:after="80"/>
        <w:ind w:hanging="259" w:start="461"/>
        <w:contextualSpacing/>
        <w:rPr/>
      </w:pPr>
      <w:r>
        <w:rPr>
          <w:b w:val="false"/>
          <w:color w:val="202723"/>
          <w:sz w:val="21"/>
        </w:rPr>
        <w:t>authorization to proceed;</w:t>
      </w:r>
    </w:p>
    <w:p>
      <w:pPr>
        <w:pStyle w:val="ListBullet"/>
        <w:numPr>
          <w:ilvl w:val="0"/>
          <w:numId w:val="1"/>
        </w:numPr>
        <w:spacing w:lineRule="auto" w:line="276" w:before="0" w:after="80"/>
        <w:ind w:hanging="259" w:start="461"/>
        <w:contextualSpacing/>
        <w:rPr/>
      </w:pPr>
      <w:r>
        <w:rPr>
          <w:b w:val="false"/>
          <w:color w:val="202723"/>
          <w:sz w:val="21"/>
        </w:rPr>
        <w:t>executed change and budget update.</w:t>
      </w:r>
    </w:p>
    <w:p>
      <w:pPr>
        <w:pStyle w:val="Normal"/>
        <w:rPr/>
      </w:pPr>
      <w:r>
        <w:rPr>
          <w:b w:val="false"/>
          <w:color w:val="202723"/>
          <w:sz w:val="21"/>
        </w:rPr>
        <w:t>Field direction does not automatically authorize uncompensated work. Emergency actions needed to protect life or property may proceed under emergency authority, with documentation and notice as soon as practicable.</w:t>
      </w:r>
      <w:r>
        <w:br w:type="page"/>
      </w:r>
    </w:p>
    <w:p>
      <w:pPr>
        <w:pStyle w:val="Heading2"/>
        <w:keepNext w:val="true"/>
        <w:spacing w:before="0" w:after="120"/>
        <w:rPr/>
      </w:pPr>
      <w:r>
        <w:rPr>
          <w:rFonts w:ascii="Mendl Sans Dusk Medium" w:hAnsi="Mendl Sans Dusk Medium"/>
          <w:b w:val="false"/>
          <w:color w:val="628F79"/>
          <w:sz w:val="26"/>
        </w:rPr>
        <w:t>15. Cost, forecast and billing control</w:t>
      </w:r>
    </w:p>
    <w:p>
      <w:pPr>
        <w:pStyle w:val="Normal"/>
        <w:rPr/>
      </w:pPr>
      <w:r>
        <w:rPr>
          <w:b w:val="false"/>
          <w:color w:val="202723"/>
          <w:sz w:val="21"/>
        </w:rPr>
        <w:t>The PM owns the project forecast; finance owns accounting integrity. At least monthly, each project shall review:</w:t>
      </w:r>
    </w:p>
    <w:p>
      <w:pPr>
        <w:pStyle w:val="ListBullet"/>
        <w:numPr>
          <w:ilvl w:val="0"/>
          <w:numId w:val="1"/>
        </w:numPr>
        <w:spacing w:lineRule="auto" w:line="276" w:before="0" w:after="80"/>
        <w:ind w:hanging="259" w:start="461"/>
        <w:contextualSpacing/>
        <w:rPr/>
      </w:pPr>
      <w:r>
        <w:rPr>
          <w:b w:val="false"/>
          <w:color w:val="202723"/>
          <w:sz w:val="21"/>
        </w:rPr>
        <w:t>original and current contract value;</w:t>
      </w:r>
    </w:p>
    <w:p>
      <w:pPr>
        <w:pStyle w:val="ListBullet"/>
        <w:numPr>
          <w:ilvl w:val="0"/>
          <w:numId w:val="1"/>
        </w:numPr>
        <w:spacing w:lineRule="auto" w:line="276" w:before="0" w:after="80"/>
        <w:ind w:hanging="259" w:start="461"/>
        <w:contextualSpacing/>
        <w:rPr/>
      </w:pPr>
      <w:r>
        <w:rPr>
          <w:b w:val="false"/>
          <w:color w:val="202723"/>
          <w:sz w:val="21"/>
        </w:rPr>
        <w:t>approved and pending changes;</w:t>
      </w:r>
    </w:p>
    <w:p>
      <w:pPr>
        <w:pStyle w:val="ListBullet"/>
        <w:numPr>
          <w:ilvl w:val="0"/>
          <w:numId w:val="1"/>
        </w:numPr>
        <w:spacing w:lineRule="auto" w:line="276" w:before="0" w:after="80"/>
        <w:ind w:hanging="259" w:start="461"/>
        <w:contextualSpacing/>
        <w:rPr/>
      </w:pPr>
      <w:r>
        <w:rPr>
          <w:b w:val="false"/>
          <w:color w:val="202723"/>
          <w:sz w:val="21"/>
        </w:rPr>
        <w:t>original and current budget;</w:t>
      </w:r>
    </w:p>
    <w:p>
      <w:pPr>
        <w:pStyle w:val="ListBullet"/>
        <w:numPr>
          <w:ilvl w:val="0"/>
          <w:numId w:val="1"/>
        </w:numPr>
        <w:spacing w:lineRule="auto" w:line="276" w:before="0" w:after="80"/>
        <w:ind w:hanging="259" w:start="461"/>
        <w:contextualSpacing/>
        <w:rPr/>
      </w:pPr>
      <w:r>
        <w:rPr>
          <w:b w:val="false"/>
          <w:color w:val="202723"/>
          <w:sz w:val="21"/>
        </w:rPr>
        <w:t>commitments, actual cost and accruals;</w:t>
      </w:r>
    </w:p>
    <w:p>
      <w:pPr>
        <w:pStyle w:val="ListBullet"/>
        <w:numPr>
          <w:ilvl w:val="0"/>
          <w:numId w:val="1"/>
        </w:numPr>
        <w:spacing w:lineRule="auto" w:line="276" w:before="0" w:after="80"/>
        <w:ind w:hanging="259" w:start="461"/>
        <w:contextualSpacing/>
        <w:rPr/>
      </w:pPr>
      <w:r>
        <w:rPr>
          <w:b w:val="false"/>
          <w:color w:val="202723"/>
          <w:sz w:val="21"/>
        </w:rPr>
        <w:t>cost to complete by cost code;</w:t>
      </w:r>
    </w:p>
    <w:p>
      <w:pPr>
        <w:pStyle w:val="ListBullet"/>
        <w:numPr>
          <w:ilvl w:val="0"/>
          <w:numId w:val="1"/>
        </w:numPr>
        <w:spacing w:lineRule="auto" w:line="276" w:before="0" w:after="80"/>
        <w:ind w:hanging="259" w:start="461"/>
        <w:contextualSpacing/>
        <w:rPr/>
      </w:pPr>
      <w:r>
        <w:rPr>
          <w:b w:val="false"/>
          <w:color w:val="202723"/>
          <w:sz w:val="21"/>
        </w:rPr>
        <w:t>forecast final cost and margin;</w:t>
      </w:r>
    </w:p>
    <w:p>
      <w:pPr>
        <w:pStyle w:val="ListBullet"/>
        <w:numPr>
          <w:ilvl w:val="0"/>
          <w:numId w:val="1"/>
        </w:numPr>
        <w:spacing w:lineRule="auto" w:line="276" w:before="0" w:after="80"/>
        <w:ind w:hanging="259" w:start="461"/>
        <w:contextualSpacing/>
        <w:rPr/>
      </w:pPr>
      <w:r>
        <w:rPr>
          <w:b w:val="false"/>
          <w:color w:val="202723"/>
          <w:sz w:val="21"/>
        </w:rPr>
        <w:t>owner billing, cash receipts and retainage;</w:t>
      </w:r>
    </w:p>
    <w:p>
      <w:pPr>
        <w:pStyle w:val="ListBullet"/>
        <w:numPr>
          <w:ilvl w:val="0"/>
          <w:numId w:val="1"/>
        </w:numPr>
        <w:spacing w:lineRule="auto" w:line="276" w:before="0" w:after="80"/>
        <w:ind w:hanging="259" w:start="461"/>
        <w:contextualSpacing/>
        <w:rPr/>
      </w:pPr>
      <w:r>
        <w:rPr>
          <w:b w:val="false"/>
          <w:color w:val="202723"/>
          <w:sz w:val="21"/>
        </w:rPr>
        <w:t>subcontractor/vendor invoices and payment status;</w:t>
      </w:r>
    </w:p>
    <w:p>
      <w:pPr>
        <w:pStyle w:val="ListBullet"/>
        <w:numPr>
          <w:ilvl w:val="0"/>
          <w:numId w:val="1"/>
        </w:numPr>
        <w:spacing w:lineRule="auto" w:line="276" w:before="0" w:after="80"/>
        <w:ind w:hanging="259" w:start="461"/>
        <w:contextualSpacing/>
        <w:rPr/>
      </w:pPr>
      <w:r>
        <w:rPr>
          <w:b w:val="false"/>
          <w:color w:val="202723"/>
          <w:sz w:val="21"/>
        </w:rPr>
        <w:t>under/over billing and cash exposure;</w:t>
      </w:r>
    </w:p>
    <w:p>
      <w:pPr>
        <w:pStyle w:val="ListBullet"/>
        <w:numPr>
          <w:ilvl w:val="0"/>
          <w:numId w:val="1"/>
        </w:numPr>
        <w:spacing w:lineRule="auto" w:line="276" w:before="0" w:after="80"/>
        <w:ind w:hanging="259" w:start="461"/>
        <w:contextualSpacing/>
        <w:rPr/>
      </w:pPr>
      <w:r>
        <w:rPr>
          <w:b w:val="false"/>
          <w:color w:val="202723"/>
          <w:sz w:val="21"/>
        </w:rPr>
        <w:t>major risks, opportunities and contingency movement.</w:t>
      </w:r>
    </w:p>
    <w:p>
      <w:pPr>
        <w:pStyle w:val="Normal"/>
        <w:rPr/>
      </w:pPr>
      <w:r>
        <w:rPr>
          <w:b w:val="false"/>
          <w:color w:val="202723"/>
          <w:sz w:val="21"/>
        </w:rPr>
        <w:t>Forecasts must reflect best current information. Delaying recognition of a loss, known cost or schedule impact violates company policy.</w:t>
      </w:r>
      <w:r>
        <w:br w:type="page"/>
      </w:r>
    </w:p>
    <w:p>
      <w:pPr>
        <w:pStyle w:val="Heading2"/>
        <w:keepNext w:val="true"/>
        <w:spacing w:before="0" w:after="120"/>
        <w:rPr/>
      </w:pPr>
      <w:r>
        <w:rPr>
          <w:rFonts w:ascii="Mendl Sans Dusk Medium" w:hAnsi="Mendl Sans Dusk Medium"/>
          <w:b w:val="false"/>
          <w:color w:val="628F79"/>
          <w:sz w:val="26"/>
        </w:rPr>
        <w:t>16. Meetings and client communication</w:t>
      </w:r>
    </w:p>
    <w:p>
      <w:pPr>
        <w:pStyle w:val="Normal"/>
        <w:rPr/>
      </w:pPr>
      <w:r>
        <w:rPr>
          <w:b w:val="false"/>
          <w:color w:val="202723"/>
          <w:sz w:val="21"/>
        </w:rPr>
        <w:t>Meetings shall use an agenda, assigned actions and a decision log. Minutes are distributed promptly under the contract or company standard. If minutes misstate a material fact, the PM shall correct the record within the applicable notice period.</w:t>
      </w:r>
    </w:p>
    <w:p>
      <w:pPr>
        <w:pStyle w:val="Normal"/>
        <w:rPr/>
      </w:pPr>
      <w:r>
        <w:rPr>
          <w:b w:val="false"/>
          <w:color w:val="202723"/>
          <w:sz w:val="21"/>
        </w:rPr>
        <w:t>Client communication should be timely and direct. Relationship preservation does not justify concealment of risk or waiver of notice rights.</w:t>
      </w:r>
      <w:r>
        <w:br w:type="page"/>
      </w:r>
    </w:p>
    <w:p>
      <w:pPr>
        <w:pStyle w:val="Heading2"/>
        <w:keepNext w:val="true"/>
        <w:spacing w:before="0" w:after="120"/>
        <w:rPr/>
      </w:pPr>
      <w:r>
        <w:rPr>
          <w:rFonts w:ascii="Mendl Sans Dusk Medium" w:hAnsi="Mendl Sans Dusk Medium"/>
          <w:b w:val="false"/>
          <w:color w:val="628F79"/>
          <w:sz w:val="26"/>
        </w:rPr>
        <w:t>17. Closeout and warranty</w:t>
      </w:r>
    </w:p>
    <w:p>
      <w:pPr>
        <w:pStyle w:val="Normal"/>
        <w:rPr/>
      </w:pPr>
      <w:r>
        <w:rPr>
          <w:b w:val="false"/>
          <w:color w:val="202723"/>
          <w:sz w:val="21"/>
        </w:rPr>
        <w:t>Closeout planning begins at mobilization and becomes a formal workstream no later than 75 percent completion. Required items may include:</w:t>
      </w:r>
    </w:p>
    <w:p>
      <w:pPr>
        <w:pStyle w:val="ListBullet"/>
        <w:numPr>
          <w:ilvl w:val="0"/>
          <w:numId w:val="1"/>
        </w:numPr>
        <w:spacing w:lineRule="auto" w:line="276" w:before="0" w:after="80"/>
        <w:ind w:hanging="259" w:start="461"/>
        <w:contextualSpacing/>
        <w:rPr/>
      </w:pPr>
      <w:r>
        <w:rPr>
          <w:b w:val="false"/>
          <w:color w:val="202723"/>
          <w:sz w:val="21"/>
        </w:rPr>
        <w:t>punch and deficiency completion;</w:t>
      </w:r>
    </w:p>
    <w:p>
      <w:pPr>
        <w:pStyle w:val="ListBullet"/>
        <w:numPr>
          <w:ilvl w:val="0"/>
          <w:numId w:val="1"/>
        </w:numPr>
        <w:spacing w:lineRule="auto" w:line="276" w:before="0" w:after="80"/>
        <w:ind w:hanging="259" w:start="461"/>
        <w:contextualSpacing/>
        <w:rPr/>
      </w:pPr>
      <w:r>
        <w:rPr>
          <w:b w:val="false"/>
          <w:color w:val="202723"/>
          <w:sz w:val="21"/>
        </w:rPr>
        <w:t>inspections, testing and certificates;</w:t>
      </w:r>
    </w:p>
    <w:p>
      <w:pPr>
        <w:pStyle w:val="ListBullet"/>
        <w:numPr>
          <w:ilvl w:val="0"/>
          <w:numId w:val="1"/>
        </w:numPr>
        <w:spacing w:lineRule="auto" w:line="276" w:before="0" w:after="80"/>
        <w:ind w:hanging="259" w:start="461"/>
        <w:contextualSpacing/>
        <w:rPr/>
      </w:pPr>
      <w:r>
        <w:rPr>
          <w:b w:val="false"/>
          <w:color w:val="202723"/>
          <w:sz w:val="21"/>
        </w:rPr>
        <w:t>commissioning and owner training;</w:t>
      </w:r>
    </w:p>
    <w:p>
      <w:pPr>
        <w:pStyle w:val="ListBullet"/>
        <w:numPr>
          <w:ilvl w:val="0"/>
          <w:numId w:val="1"/>
        </w:numPr>
        <w:spacing w:lineRule="auto" w:line="276" w:before="0" w:after="80"/>
        <w:ind w:hanging="259" w:start="461"/>
        <w:contextualSpacing/>
        <w:rPr/>
      </w:pPr>
      <w:r>
        <w:rPr>
          <w:b w:val="false"/>
          <w:color w:val="202723"/>
          <w:sz w:val="21"/>
        </w:rPr>
        <w:t>O&amp;M manuals, warranties and spare parts;</w:t>
      </w:r>
    </w:p>
    <w:p>
      <w:pPr>
        <w:pStyle w:val="ListBullet"/>
        <w:numPr>
          <w:ilvl w:val="0"/>
          <w:numId w:val="1"/>
        </w:numPr>
        <w:spacing w:lineRule="auto" w:line="276" w:before="0" w:after="80"/>
        <w:ind w:hanging="259" w:start="461"/>
        <w:contextualSpacing/>
        <w:rPr/>
      </w:pPr>
      <w:r>
        <w:rPr>
          <w:b w:val="false"/>
          <w:color w:val="202723"/>
          <w:sz w:val="21"/>
        </w:rPr>
        <w:t>as-built drawings and approved submittals;</w:t>
      </w:r>
    </w:p>
    <w:p>
      <w:pPr>
        <w:pStyle w:val="ListBullet"/>
        <w:numPr>
          <w:ilvl w:val="0"/>
          <w:numId w:val="1"/>
        </w:numPr>
        <w:spacing w:lineRule="auto" w:line="276" w:before="0" w:after="80"/>
        <w:ind w:hanging="259" w:start="461"/>
        <w:contextualSpacing/>
        <w:rPr/>
      </w:pPr>
      <w:r>
        <w:rPr>
          <w:b w:val="false"/>
          <w:color w:val="202723"/>
          <w:sz w:val="21"/>
        </w:rPr>
        <w:t>lien releases, consent of surety and final affidavits;</w:t>
      </w:r>
    </w:p>
    <w:p>
      <w:pPr>
        <w:pStyle w:val="ListBullet"/>
        <w:numPr>
          <w:ilvl w:val="0"/>
          <w:numId w:val="1"/>
        </w:numPr>
        <w:spacing w:lineRule="auto" w:line="276" w:before="0" w:after="80"/>
        <w:ind w:hanging="259" w:start="461"/>
        <w:contextualSpacing/>
        <w:rPr/>
      </w:pPr>
      <w:r>
        <w:rPr>
          <w:b w:val="false"/>
          <w:color w:val="202723"/>
          <w:sz w:val="21"/>
        </w:rPr>
        <w:t>keys, access, attic stock and asset data;</w:t>
      </w:r>
    </w:p>
    <w:p>
      <w:pPr>
        <w:pStyle w:val="ListBullet"/>
        <w:numPr>
          <w:ilvl w:val="0"/>
          <w:numId w:val="1"/>
        </w:numPr>
        <w:spacing w:lineRule="auto" w:line="276" w:before="0" w:after="80"/>
        <w:ind w:hanging="259" w:start="461"/>
        <w:contextualSpacing/>
        <w:rPr/>
      </w:pPr>
      <w:r>
        <w:rPr>
          <w:b w:val="false"/>
          <w:color w:val="202723"/>
          <w:sz w:val="21"/>
        </w:rPr>
        <w:t>demobilization and environmental restoration;</w:t>
      </w:r>
    </w:p>
    <w:p>
      <w:pPr>
        <w:pStyle w:val="ListBullet"/>
        <w:numPr>
          <w:ilvl w:val="0"/>
          <w:numId w:val="1"/>
        </w:numPr>
        <w:spacing w:lineRule="auto" w:line="276" w:before="0" w:after="80"/>
        <w:ind w:hanging="259" w:start="461"/>
        <w:contextualSpacing/>
        <w:rPr/>
      </w:pPr>
      <w:r>
        <w:rPr>
          <w:b w:val="false"/>
          <w:color w:val="202723"/>
          <w:sz w:val="21"/>
        </w:rPr>
        <w:t>financial close and final payment;</w:t>
      </w:r>
    </w:p>
    <w:p>
      <w:pPr>
        <w:pStyle w:val="ListBullet"/>
        <w:numPr>
          <w:ilvl w:val="0"/>
          <w:numId w:val="1"/>
        </w:numPr>
        <w:spacing w:lineRule="auto" w:line="276" w:before="0" w:after="80"/>
        <w:ind w:hanging="259" w:start="461"/>
        <w:contextualSpacing/>
        <w:rPr/>
      </w:pPr>
      <w:r>
        <w:rPr>
          <w:b w:val="false"/>
          <w:color w:val="202723"/>
          <w:sz w:val="21"/>
        </w:rPr>
        <w:t>project archive and lessons learned.</w:t>
      </w:r>
    </w:p>
    <w:p>
      <w:pPr>
        <w:pStyle w:val="Normal"/>
        <w:rPr/>
      </w:pPr>
      <w:r>
        <w:rPr>
          <w:b w:val="false"/>
          <w:color w:val="202723"/>
          <w:sz w:val="21"/>
        </w:rPr>
        <w:t>Warranty requests shall be logged, acknowledged, assigned, resolved and analyzed for recurring causes.</w:t>
      </w:r>
      <w:r>
        <w:br w:type="page"/>
      </w:r>
    </w:p>
    <w:p>
      <w:pPr>
        <w:pStyle w:val="Heading1"/>
        <w:keepNext w:val="true"/>
        <w:spacing w:before="0" w:after="160"/>
        <w:rPr/>
      </w:pPr>
      <w:r>
        <w:rPr>
          <w:rFonts w:ascii="Mendl Sans Dusk Bold" w:hAnsi="Mendl Sans Dusk Bold"/>
          <w:b/>
          <w:color w:val="386851"/>
          <w:sz w:val="32"/>
        </w:rPr>
        <w:t>Part IV - Finance, procurement and subcontractors</w:t>
      </w:r>
      <w:r>
        <w:br w:type="page"/>
      </w:r>
    </w:p>
    <w:p>
      <w:pPr>
        <w:pStyle w:val="Heading2"/>
        <w:keepNext w:val="true"/>
        <w:spacing w:before="0" w:after="120"/>
        <w:rPr/>
      </w:pPr>
      <w:r>
        <w:rPr>
          <w:rFonts w:ascii="Mendl Sans Dusk Medium" w:hAnsi="Mendl Sans Dusk Medium"/>
          <w:b w:val="false"/>
          <w:color w:val="628F79"/>
          <w:sz w:val="26"/>
        </w:rPr>
        <w:t>18. Enterprise financial controls</w:t>
      </w:r>
    </w:p>
    <w:p>
      <w:pPr>
        <w:pStyle w:val="Heading3"/>
        <w:rPr/>
      </w:pPr>
      <w:r>
        <w:rPr>
          <w:rFonts w:ascii="Mendl Sans Dusk Medium" w:hAnsi="Mendl Sans Dusk Medium"/>
          <w:b w:val="false"/>
          <w:color w:val="1E392C"/>
          <w:sz w:val="23"/>
        </w:rPr>
        <w:t>18.1 Core principles</w:t>
      </w:r>
    </w:p>
    <w:p>
      <w:pPr>
        <w:pStyle w:val="ListBullet"/>
        <w:numPr>
          <w:ilvl w:val="0"/>
          <w:numId w:val="1"/>
        </w:numPr>
        <w:spacing w:lineRule="auto" w:line="276" w:before="0" w:after="80"/>
        <w:ind w:hanging="259" w:start="461"/>
        <w:contextualSpacing/>
        <w:rPr/>
      </w:pPr>
      <w:r>
        <w:rPr>
          <w:b w:val="false"/>
          <w:color w:val="202723"/>
          <w:sz w:val="21"/>
        </w:rPr>
        <w:t>Company and project transactions shall be timely, accurate, complete and supported.</w:t>
      </w:r>
    </w:p>
    <w:p>
      <w:pPr>
        <w:pStyle w:val="ListBullet"/>
        <w:numPr>
          <w:ilvl w:val="0"/>
          <w:numId w:val="1"/>
        </w:numPr>
        <w:spacing w:lineRule="auto" w:line="276" w:before="0" w:after="80"/>
        <w:ind w:hanging="259" w:start="461"/>
        <w:contextualSpacing/>
        <w:rPr/>
      </w:pPr>
      <w:r>
        <w:rPr>
          <w:b w:val="false"/>
          <w:color w:val="202723"/>
          <w:sz w:val="21"/>
        </w:rPr>
        <w:t>Bank, accounting and project systems shall reconcile.</w:t>
      </w:r>
    </w:p>
    <w:p>
      <w:pPr>
        <w:pStyle w:val="ListBullet"/>
        <w:numPr>
          <w:ilvl w:val="0"/>
          <w:numId w:val="1"/>
        </w:numPr>
        <w:spacing w:lineRule="auto" w:line="276" w:before="0" w:after="80"/>
        <w:ind w:hanging="259" w:start="461"/>
        <w:contextualSpacing/>
        <w:rPr/>
      </w:pPr>
      <w:r>
        <w:rPr>
          <w:b w:val="false"/>
          <w:color w:val="202723"/>
          <w:sz w:val="21"/>
        </w:rPr>
        <w:t>Duties shall be separated where practical; compensating review is required where staffing is limited.</w:t>
      </w:r>
    </w:p>
    <w:p>
      <w:pPr>
        <w:pStyle w:val="ListBullet"/>
        <w:numPr>
          <w:ilvl w:val="0"/>
          <w:numId w:val="1"/>
        </w:numPr>
        <w:spacing w:lineRule="auto" w:line="276" w:before="0" w:after="80"/>
        <w:ind w:hanging="259" w:start="461"/>
        <w:contextualSpacing/>
        <w:rPr/>
      </w:pPr>
      <w:r>
        <w:rPr>
          <w:b w:val="false"/>
          <w:color w:val="202723"/>
          <w:sz w:val="21"/>
        </w:rPr>
        <w:t>Changes to vendor banking, payroll or payment instructions require independent verification through a trusted channel.</w:t>
      </w:r>
    </w:p>
    <w:p>
      <w:pPr>
        <w:pStyle w:val="ListBullet"/>
        <w:numPr>
          <w:ilvl w:val="0"/>
          <w:numId w:val="1"/>
        </w:numPr>
        <w:spacing w:lineRule="auto" w:line="276" w:before="0" w:after="80"/>
        <w:ind w:hanging="259" w:start="461"/>
        <w:contextualSpacing/>
        <w:rPr/>
      </w:pPr>
      <w:r>
        <w:rPr>
          <w:b w:val="false"/>
          <w:color w:val="202723"/>
          <w:sz w:val="21"/>
        </w:rPr>
        <w:t>No one may approve their own expense, compensation, vendor creation or payment.</w:t>
      </w:r>
    </w:p>
    <w:p>
      <w:pPr>
        <w:pStyle w:val="Heading3"/>
        <w:rPr/>
      </w:pPr>
      <w:r>
        <w:rPr>
          <w:rFonts w:ascii="Mendl Sans Dusk Medium" w:hAnsi="Mendl Sans Dusk Medium"/>
          <w:b w:val="false"/>
          <w:color w:val="1E392C"/>
          <w:sz w:val="23"/>
        </w:rPr>
        <w:t>18.2 Monthly close and WIP</w:t>
      </w:r>
    </w:p>
    <w:p>
      <w:pPr>
        <w:pStyle w:val="Normal"/>
        <w:rPr/>
      </w:pPr>
      <w:r>
        <w:rPr>
          <w:b w:val="false"/>
          <w:color w:val="202723"/>
          <w:sz w:val="21"/>
        </w:rPr>
        <w:t>The monthly close includes bank and credit-card reconciliation, AP/AR review, payroll liabilities, job-cost posting, accruals, equipment cost, WIP, under/over billing, cash forecast and management review. Reconciling items require owners and deadlines.</w:t>
      </w:r>
    </w:p>
    <w:p>
      <w:pPr>
        <w:pStyle w:val="Heading3"/>
        <w:rPr/>
      </w:pPr>
      <w:r>
        <w:rPr>
          <w:rFonts w:ascii="Mendl Sans Dusk Medium" w:hAnsi="Mendl Sans Dusk Medium"/>
          <w:b w:val="false"/>
          <w:color w:val="1E392C"/>
          <w:sz w:val="23"/>
        </w:rPr>
        <w:t>18.3 Cash and fraud controls</w:t>
      </w:r>
    </w:p>
    <w:p>
      <w:pPr>
        <w:pStyle w:val="Normal"/>
        <w:rPr/>
      </w:pPr>
      <w:r>
        <w:rPr>
          <w:b w:val="false"/>
          <w:color w:val="202723"/>
          <w:sz w:val="21"/>
        </w:rPr>
        <w:t>Payments require approved documentation and authority. Vendor master changes, unusual refunds, urgent wires and email-only banking instructions receive enhanced verification. Suspected fraud triggers immediate preservation of evidence, access review, bank/insurer notification as appropriate and executive escalation.</w:t>
      </w:r>
      <w:r>
        <w:br w:type="page"/>
      </w:r>
    </w:p>
    <w:p>
      <w:pPr>
        <w:pStyle w:val="Heading2"/>
        <w:keepNext w:val="true"/>
        <w:spacing w:before="0" w:after="120"/>
        <w:rPr/>
      </w:pPr>
      <w:r>
        <w:rPr>
          <w:rFonts w:ascii="Mendl Sans Dusk Medium" w:hAnsi="Mendl Sans Dusk Medium"/>
          <w:b w:val="false"/>
          <w:color w:val="628F79"/>
          <w:sz w:val="26"/>
        </w:rPr>
        <w:t>19. Procurement and purchasing</w:t>
      </w:r>
    </w:p>
    <w:p>
      <w:pPr>
        <w:pStyle w:val="Normal"/>
        <w:rPr/>
      </w:pPr>
      <w:r>
        <w:rPr>
          <w:b w:val="false"/>
          <w:color w:val="202723"/>
          <w:sz w:val="21"/>
        </w:rPr>
        <w:t>Procurement shall begin with defined scope, need date, approved budget and authorized requester. Competitive quotations should be obtained when practical and exceptions documented.</w:t>
      </w:r>
    </w:p>
    <w:p>
      <w:pPr>
        <w:pStyle w:val="Normal"/>
        <w:rPr/>
      </w:pPr>
      <w:r>
        <w:rPr>
          <w:b w:val="false"/>
          <w:color w:val="202723"/>
          <w:sz w:val="21"/>
        </w:rPr>
        <w:t>Purchase orders and subcontracts shall be issued before work or delivery except under approved emergency authority. Receiving evidence must be matched to the commitment and invoice. Defective, short or damaged deliveries are documented before acceptance.</w:t>
      </w:r>
    </w:p>
    <w:p>
      <w:pPr>
        <w:pStyle w:val="Normal"/>
        <w:rPr/>
      </w:pPr>
      <w:r>
        <w:rPr>
          <w:b w:val="false"/>
          <w:color w:val="202723"/>
          <w:sz w:val="21"/>
        </w:rPr>
        <w:t>Long-lead procurement shall be integrated into the project schedule and risk register.</w:t>
      </w:r>
      <w:r>
        <w:br w:type="page"/>
      </w:r>
    </w:p>
    <w:p>
      <w:pPr>
        <w:pStyle w:val="Heading2"/>
        <w:keepNext w:val="true"/>
        <w:spacing w:before="0" w:after="120"/>
        <w:rPr/>
      </w:pPr>
      <w:r>
        <w:rPr>
          <w:rFonts w:ascii="Mendl Sans Dusk Medium" w:hAnsi="Mendl Sans Dusk Medium"/>
          <w:b w:val="false"/>
          <w:color w:val="628F79"/>
          <w:sz w:val="26"/>
        </w:rPr>
        <w:t>20. Subcontractor lifecycle</w:t>
      </w:r>
    </w:p>
    <w:p>
      <w:pPr>
        <w:pStyle w:val="Heading3"/>
        <w:rPr/>
      </w:pPr>
      <w:r>
        <w:rPr>
          <w:rFonts w:ascii="Mendl Sans Dusk Medium" w:hAnsi="Mendl Sans Dusk Medium"/>
          <w:b w:val="false"/>
          <w:color w:val="1E392C"/>
          <w:sz w:val="23"/>
        </w:rPr>
        <w:t>20.1 Prequalification</w:t>
      </w:r>
    </w:p>
    <w:p>
      <w:pPr>
        <w:pStyle w:val="Normal"/>
        <w:rPr/>
      </w:pPr>
      <w:r>
        <w:rPr>
          <w:b w:val="false"/>
          <w:color w:val="202723"/>
          <w:sz w:val="21"/>
        </w:rPr>
        <w:t>Prequalification is risk-based and considers trade experience, financial capacity, safety performance, insurance, licensing, workforce, equipment, references, litigation/claims and current workload. Approval does not guarantee award and must be refreshed periodically.</w:t>
      </w:r>
    </w:p>
    <w:p>
      <w:pPr>
        <w:pStyle w:val="Heading3"/>
        <w:rPr/>
      </w:pPr>
      <w:r>
        <w:rPr>
          <w:rFonts w:ascii="Mendl Sans Dusk Medium" w:hAnsi="Mendl Sans Dusk Medium"/>
          <w:b w:val="false"/>
          <w:color w:val="1E392C"/>
          <w:sz w:val="23"/>
        </w:rPr>
        <w:t>20.2 Scope and buyout</w:t>
      </w:r>
    </w:p>
    <w:p>
      <w:pPr>
        <w:pStyle w:val="Normal"/>
        <w:rPr/>
      </w:pPr>
      <w:r>
        <w:rPr>
          <w:b w:val="false"/>
          <w:color w:val="202723"/>
          <w:sz w:val="21"/>
        </w:rPr>
        <w:t>Subcontract scope shall reconcile estimate assumptions, drawings, specifications, alternates, schedule, logistics, safety, quality, closeout and commercial terms. Scope gaps and overlaps must be resolved before execution.</w:t>
      </w:r>
    </w:p>
    <w:p>
      <w:pPr>
        <w:pStyle w:val="Heading3"/>
        <w:rPr/>
      </w:pPr>
      <w:r>
        <w:rPr>
          <w:rFonts w:ascii="Mendl Sans Dusk Medium" w:hAnsi="Mendl Sans Dusk Medium"/>
          <w:b w:val="false"/>
          <w:color w:val="1E392C"/>
          <w:sz w:val="23"/>
        </w:rPr>
        <w:t>20.3 Performance control</w:t>
      </w:r>
    </w:p>
    <w:p>
      <w:pPr>
        <w:pStyle w:val="Normal"/>
        <w:rPr/>
      </w:pPr>
      <w:r>
        <w:rPr>
          <w:b w:val="false"/>
          <w:color w:val="202723"/>
          <w:sz w:val="21"/>
        </w:rPr>
        <w:t>Subcontractors are evaluated on safety, quality, manpower, schedule, coordination, documentation, change conduct and closeout. Material deficiencies require written corrective action and escalation under the subcontract.</w:t>
      </w:r>
    </w:p>
    <w:p>
      <w:pPr>
        <w:pStyle w:val="Heading3"/>
        <w:rPr/>
      </w:pPr>
      <w:r>
        <w:rPr>
          <w:rFonts w:ascii="Mendl Sans Dusk Medium" w:hAnsi="Mendl Sans Dusk Medium"/>
          <w:b w:val="false"/>
          <w:color w:val="1E392C"/>
          <w:sz w:val="23"/>
        </w:rPr>
        <w:t>20.4 Payment and releases</w:t>
      </w:r>
    </w:p>
    <w:p>
      <w:pPr>
        <w:pStyle w:val="Normal"/>
        <w:rPr/>
      </w:pPr>
      <w:r>
        <w:rPr>
          <w:b w:val="false"/>
          <w:color w:val="202723"/>
          <w:sz w:val="21"/>
        </w:rPr>
        <w:t>Payment requires verified progress, approved schedule of values, compliant invoice/pay application, required releases, insurance and other contract conditions. Release forms and notice processes must be selected for the actual jurisdiction and project type.</w:t>
      </w:r>
      <w:r>
        <w:br w:type="page"/>
      </w:r>
    </w:p>
    <w:p>
      <w:pPr>
        <w:pStyle w:val="Heading1"/>
        <w:keepNext w:val="true"/>
        <w:spacing w:before="0" w:after="160"/>
        <w:rPr/>
      </w:pPr>
      <w:r>
        <w:rPr>
          <w:rFonts w:ascii="Mendl Sans Dusk Bold" w:hAnsi="Mendl Sans Dusk Bold"/>
          <w:b/>
          <w:color w:val="386851"/>
          <w:sz w:val="32"/>
        </w:rPr>
        <w:t>Part V - Quality, safety and environmental stewardship</w:t>
      </w:r>
      <w:r>
        <w:br w:type="page"/>
      </w:r>
    </w:p>
    <w:p>
      <w:pPr>
        <w:pStyle w:val="Heading2"/>
        <w:keepNext w:val="true"/>
        <w:spacing w:before="0" w:after="120"/>
        <w:rPr/>
      </w:pPr>
      <w:r>
        <w:rPr>
          <w:rFonts w:ascii="Mendl Sans Dusk Medium" w:hAnsi="Mendl Sans Dusk Medium"/>
          <w:b w:val="false"/>
          <w:color w:val="628F79"/>
          <w:sz w:val="26"/>
        </w:rPr>
        <w:t>21. Quality management</w:t>
      </w:r>
    </w:p>
    <w:p>
      <w:pPr>
        <w:pStyle w:val="Heading3"/>
        <w:rPr/>
      </w:pPr>
      <w:r>
        <w:rPr>
          <w:rFonts w:ascii="Mendl Sans Dusk Medium" w:hAnsi="Mendl Sans Dusk Medium"/>
          <w:b w:val="false"/>
          <w:color w:val="1E392C"/>
          <w:sz w:val="23"/>
        </w:rPr>
        <w:t>21.1 Quality planning</w:t>
      </w:r>
    </w:p>
    <w:p>
      <w:pPr>
        <w:pStyle w:val="Normal"/>
        <w:rPr/>
      </w:pPr>
      <w:r>
        <w:rPr>
          <w:b w:val="false"/>
          <w:color w:val="202723"/>
          <w:sz w:val="21"/>
        </w:rPr>
        <w:t>Every project shall have a quality plan proportionate to scope and risk. It identifies:</w:t>
      </w:r>
    </w:p>
    <w:p>
      <w:pPr>
        <w:pStyle w:val="ListBullet"/>
        <w:numPr>
          <w:ilvl w:val="0"/>
          <w:numId w:val="1"/>
        </w:numPr>
        <w:spacing w:lineRule="auto" w:line="276" w:before="0" w:after="80"/>
        <w:ind w:hanging="259" w:start="461"/>
        <w:contextualSpacing/>
        <w:rPr/>
      </w:pPr>
      <w:r>
        <w:rPr>
          <w:b w:val="false"/>
          <w:color w:val="202723"/>
          <w:sz w:val="21"/>
        </w:rPr>
        <w:t>critical features and acceptance criteria;</w:t>
      </w:r>
    </w:p>
    <w:p>
      <w:pPr>
        <w:pStyle w:val="ListBullet"/>
        <w:numPr>
          <w:ilvl w:val="0"/>
          <w:numId w:val="1"/>
        </w:numPr>
        <w:spacing w:lineRule="auto" w:line="276" w:before="0" w:after="80"/>
        <w:ind w:hanging="259" w:start="461"/>
        <w:contextualSpacing/>
        <w:rPr/>
      </w:pPr>
      <w:r>
        <w:rPr>
          <w:b w:val="false"/>
          <w:color w:val="202723"/>
          <w:sz w:val="21"/>
        </w:rPr>
        <w:t>responsible inspectors and required qualifications;</w:t>
      </w:r>
    </w:p>
    <w:p>
      <w:pPr>
        <w:pStyle w:val="ListBullet"/>
        <w:numPr>
          <w:ilvl w:val="0"/>
          <w:numId w:val="1"/>
        </w:numPr>
        <w:spacing w:lineRule="auto" w:line="276" w:before="0" w:after="80"/>
        <w:ind w:hanging="259" w:start="461"/>
        <w:contextualSpacing/>
        <w:rPr/>
      </w:pPr>
      <w:r>
        <w:rPr>
          <w:b w:val="false"/>
          <w:color w:val="202723"/>
          <w:sz w:val="21"/>
        </w:rPr>
        <w:t>submittal and mockup requirements;</w:t>
      </w:r>
    </w:p>
    <w:p>
      <w:pPr>
        <w:pStyle w:val="ListBullet"/>
        <w:numPr>
          <w:ilvl w:val="0"/>
          <w:numId w:val="1"/>
        </w:numPr>
        <w:spacing w:lineRule="auto" w:line="276" w:before="0" w:after="80"/>
        <w:ind w:hanging="259" w:start="461"/>
        <w:contextualSpacing/>
        <w:rPr/>
      </w:pPr>
      <w:r>
        <w:rPr>
          <w:b w:val="false"/>
          <w:color w:val="202723"/>
          <w:sz w:val="21"/>
        </w:rPr>
        <w:t>preparatory meetings and first-work inspections;</w:t>
      </w:r>
    </w:p>
    <w:p>
      <w:pPr>
        <w:pStyle w:val="ListBullet"/>
        <w:numPr>
          <w:ilvl w:val="0"/>
          <w:numId w:val="1"/>
        </w:numPr>
        <w:spacing w:lineRule="auto" w:line="276" w:before="0" w:after="80"/>
        <w:ind w:hanging="259" w:start="461"/>
        <w:contextualSpacing/>
        <w:rPr/>
      </w:pPr>
      <w:r>
        <w:rPr>
          <w:b w:val="false"/>
          <w:color w:val="202723"/>
          <w:sz w:val="21"/>
        </w:rPr>
        <w:t>hold and witness points;</w:t>
      </w:r>
    </w:p>
    <w:p>
      <w:pPr>
        <w:pStyle w:val="ListBullet"/>
        <w:numPr>
          <w:ilvl w:val="0"/>
          <w:numId w:val="1"/>
        </w:numPr>
        <w:spacing w:lineRule="auto" w:line="276" w:before="0" w:after="80"/>
        <w:ind w:hanging="259" w:start="461"/>
        <w:contextualSpacing/>
        <w:rPr/>
      </w:pPr>
      <w:r>
        <w:rPr>
          <w:b w:val="false"/>
          <w:color w:val="202723"/>
          <w:sz w:val="21"/>
        </w:rPr>
        <w:t>testing agencies and reports;</w:t>
      </w:r>
    </w:p>
    <w:p>
      <w:pPr>
        <w:pStyle w:val="ListBullet"/>
        <w:numPr>
          <w:ilvl w:val="0"/>
          <w:numId w:val="1"/>
        </w:numPr>
        <w:spacing w:lineRule="auto" w:line="276" w:before="0" w:after="80"/>
        <w:ind w:hanging="259" w:start="461"/>
        <w:contextualSpacing/>
        <w:rPr/>
      </w:pPr>
      <w:r>
        <w:rPr>
          <w:b w:val="false"/>
          <w:color w:val="202723"/>
          <w:sz w:val="21"/>
        </w:rPr>
        <w:t>concealed-work and photo documentation;</w:t>
      </w:r>
    </w:p>
    <w:p>
      <w:pPr>
        <w:pStyle w:val="ListBullet"/>
        <w:numPr>
          <w:ilvl w:val="0"/>
          <w:numId w:val="1"/>
        </w:numPr>
        <w:spacing w:lineRule="auto" w:line="276" w:before="0" w:after="80"/>
        <w:ind w:hanging="259" w:start="461"/>
        <w:contextualSpacing/>
        <w:rPr/>
      </w:pPr>
      <w:r>
        <w:rPr>
          <w:b w:val="false"/>
          <w:color w:val="202723"/>
          <w:sz w:val="21"/>
        </w:rPr>
        <w:t>deficiency, NCR and corrective-action processes;</w:t>
      </w:r>
    </w:p>
    <w:p>
      <w:pPr>
        <w:pStyle w:val="ListBullet"/>
        <w:numPr>
          <w:ilvl w:val="0"/>
          <w:numId w:val="1"/>
        </w:numPr>
        <w:spacing w:lineRule="auto" w:line="276" w:before="0" w:after="80"/>
        <w:ind w:hanging="259" w:start="461"/>
        <w:contextualSpacing/>
        <w:rPr/>
      </w:pPr>
      <w:r>
        <w:rPr>
          <w:b w:val="false"/>
          <w:color w:val="202723"/>
          <w:sz w:val="21"/>
        </w:rPr>
        <w:t>commissioning and turnover evidence.</w:t>
      </w:r>
    </w:p>
    <w:p>
      <w:pPr>
        <w:pStyle w:val="Heading3"/>
        <w:rPr/>
      </w:pPr>
      <w:r>
        <w:rPr>
          <w:rFonts w:ascii="Mendl Sans Dusk Medium" w:hAnsi="Mendl Sans Dusk Medium"/>
          <w:b w:val="false"/>
          <w:color w:val="1E392C"/>
          <w:sz w:val="23"/>
        </w:rPr>
        <w:t>21.2 Three-phase control</w:t>
      </w:r>
    </w:p>
    <w:p>
      <w:pPr>
        <w:pStyle w:val="Normal"/>
        <w:rPr/>
      </w:pPr>
      <w:r>
        <w:rPr>
          <w:b w:val="false"/>
          <w:color w:val="202723"/>
          <w:sz w:val="21"/>
        </w:rPr>
        <w:t>For critical work, the team uses:</w:t>
      </w:r>
    </w:p>
    <w:p>
      <w:pPr>
        <w:pStyle w:val="ListNumber"/>
        <w:numPr>
          <w:ilvl w:val="0"/>
          <w:numId w:val="4"/>
        </w:numPr>
        <w:spacing w:lineRule="auto" w:line="276" w:before="0" w:after="80"/>
        <w:ind w:hanging="259" w:start="461"/>
        <w:contextualSpacing/>
        <w:rPr/>
      </w:pPr>
      <w:r>
        <w:rPr>
          <w:rFonts w:ascii="Mendl Sans Dusk Bold" w:hAnsi="Mendl Sans Dusk Bold"/>
          <w:b/>
          <w:color w:val="202723"/>
          <w:sz w:val="21"/>
        </w:rPr>
        <w:t>Preparatory phase:</w:t>
      </w:r>
      <w:r>
        <w:rPr>
          <w:b w:val="false"/>
          <w:color w:val="202723"/>
          <w:sz w:val="21"/>
        </w:rPr>
        <w:t xml:space="preserve"> verify documents, submittals, materials, qualifications, conditions and risks before work.</w:t>
      </w:r>
    </w:p>
    <w:p>
      <w:pPr>
        <w:pStyle w:val="ListNumber"/>
        <w:numPr>
          <w:ilvl w:val="0"/>
          <w:numId w:val="4"/>
        </w:numPr>
        <w:spacing w:lineRule="auto" w:line="276" w:before="0" w:after="80"/>
        <w:ind w:hanging="259" w:start="461"/>
        <w:contextualSpacing/>
        <w:rPr/>
      </w:pPr>
      <w:r>
        <w:rPr>
          <w:rFonts w:ascii="Mendl Sans Dusk Bold" w:hAnsi="Mendl Sans Dusk Bold"/>
          <w:b/>
          <w:color w:val="202723"/>
          <w:sz w:val="21"/>
        </w:rPr>
        <w:t>Initial phase:</w:t>
      </w:r>
      <w:r>
        <w:rPr>
          <w:b w:val="false"/>
          <w:color w:val="202723"/>
          <w:sz w:val="21"/>
        </w:rPr>
        <w:t xml:space="preserve"> inspect the first completed installation and confirm the standard with the crew.</w:t>
      </w:r>
    </w:p>
    <w:p>
      <w:pPr>
        <w:pStyle w:val="ListNumber"/>
        <w:numPr>
          <w:ilvl w:val="0"/>
          <w:numId w:val="4"/>
        </w:numPr>
        <w:spacing w:lineRule="auto" w:line="276" w:before="0" w:after="80"/>
        <w:ind w:hanging="259" w:start="461"/>
        <w:contextualSpacing/>
        <w:rPr/>
      </w:pPr>
      <w:r>
        <w:rPr>
          <w:rFonts w:ascii="Mendl Sans Dusk Bold" w:hAnsi="Mendl Sans Dusk Bold"/>
          <w:b/>
          <w:color w:val="202723"/>
          <w:sz w:val="21"/>
        </w:rPr>
        <w:t>Follow-up phase:</w:t>
      </w:r>
      <w:r>
        <w:rPr>
          <w:b w:val="false"/>
          <w:color w:val="202723"/>
          <w:sz w:val="21"/>
        </w:rPr>
        <w:t xml:space="preserve"> verify continuing work and correct drift promptly.</w:t>
      </w:r>
    </w:p>
    <w:p>
      <w:pPr>
        <w:pStyle w:val="Heading3"/>
        <w:rPr/>
      </w:pPr>
      <w:r>
        <w:rPr>
          <w:rFonts w:ascii="Mendl Sans Dusk Medium" w:hAnsi="Mendl Sans Dusk Medium"/>
          <w:b w:val="false"/>
          <w:color w:val="1E392C"/>
          <w:sz w:val="23"/>
        </w:rPr>
        <w:t>21.3 Nonconformance and corrective action</w:t>
      </w:r>
    </w:p>
    <w:p>
      <w:pPr>
        <w:pStyle w:val="Normal"/>
        <w:rPr/>
      </w:pPr>
      <w:r>
        <w:rPr>
          <w:b w:val="false"/>
          <w:color w:val="202723"/>
          <w:sz w:val="21"/>
        </w:rPr>
        <w:t>Work that does not meet approved requirements shall be identified and controlled to prevent concealment or unintended acceptance. Disposition options are rework, repair with authorized acceptance, use-as-is with authorized acceptance, or rejection.</w:t>
      </w:r>
    </w:p>
    <w:p>
      <w:pPr>
        <w:pStyle w:val="Normal"/>
        <w:rPr/>
      </w:pPr>
      <w:r>
        <w:rPr>
          <w:b w:val="false"/>
          <w:color w:val="202723"/>
          <w:sz w:val="21"/>
        </w:rPr>
        <w:t>Corrective action addresses the cause, not only the symptom. Closure requires evidence that the action was implemented and effective.</w:t>
      </w:r>
      <w:r>
        <w:br w:type="page"/>
      </w:r>
    </w:p>
    <w:p>
      <w:pPr>
        <w:pStyle w:val="Heading2"/>
        <w:keepNext w:val="true"/>
        <w:spacing w:before="0" w:after="120"/>
        <w:rPr/>
      </w:pPr>
      <w:r>
        <w:rPr>
          <w:rFonts w:ascii="Mendl Sans Dusk Medium" w:hAnsi="Mendl Sans Dusk Medium"/>
          <w:b w:val="false"/>
          <w:color w:val="628F79"/>
          <w:sz w:val="26"/>
        </w:rPr>
        <w:t>22. Safety and health management</w:t>
      </w:r>
    </w:p>
    <w:p>
      <w:pPr>
        <w:pStyle w:val="Heading3"/>
        <w:rPr/>
      </w:pPr>
      <w:r>
        <w:rPr>
          <w:rFonts w:ascii="Mendl Sans Dusk Medium" w:hAnsi="Mendl Sans Dusk Medium"/>
          <w:b w:val="false"/>
          <w:color w:val="1E392C"/>
          <w:sz w:val="23"/>
        </w:rPr>
        <w:t>22.1 Governing model</w:t>
      </w:r>
    </w:p>
    <w:p>
      <w:pPr>
        <w:pStyle w:val="Normal"/>
        <w:rPr/>
      </w:pPr>
      <w:r>
        <w:rPr>
          <w:b w:val="false"/>
          <w:color w:val="202723"/>
          <w:sz w:val="21"/>
        </w:rPr>
        <w:t>The MISH program is the functional safety manual. It shall use a federal baseline with jurisdiction addenda for Washington, Oregon, Idaho and any new state. Project-specific safety plans select the applicable rules, contract requirements and site hazards.</w:t>
      </w:r>
    </w:p>
    <w:p>
      <w:pPr>
        <w:pStyle w:val="Normal"/>
        <w:rPr/>
      </w:pPr>
      <w:r>
        <w:rPr>
          <w:b w:val="false"/>
          <w:color w:val="202723"/>
          <w:sz w:val="21"/>
        </w:rPr>
        <w:t>Nothing in a TBT or quick-reference card overrides a law, approved program, engineered plan, manufacturer instruction or competent/qualified-person determination.</w:t>
      </w:r>
    </w:p>
    <w:p>
      <w:pPr>
        <w:pStyle w:val="Heading3"/>
        <w:rPr/>
      </w:pPr>
      <w:r>
        <w:rPr>
          <w:rFonts w:ascii="Mendl Sans Dusk Medium" w:hAnsi="Mendl Sans Dusk Medium"/>
          <w:b w:val="false"/>
          <w:color w:val="1E392C"/>
          <w:sz w:val="23"/>
        </w:rPr>
        <w:t>22.2 Core expectations</w:t>
      </w:r>
    </w:p>
    <w:p>
      <w:pPr>
        <w:pStyle w:val="ListBullet"/>
        <w:numPr>
          <w:ilvl w:val="0"/>
          <w:numId w:val="1"/>
        </w:numPr>
        <w:spacing w:lineRule="auto" w:line="276" w:before="0" w:after="80"/>
        <w:ind w:hanging="259" w:start="461"/>
        <w:contextualSpacing/>
        <w:rPr/>
      </w:pPr>
      <w:r>
        <w:rPr>
          <w:b w:val="false"/>
          <w:color w:val="202723"/>
          <w:sz w:val="21"/>
        </w:rPr>
        <w:t>Plan work before exposure begins.</w:t>
      </w:r>
    </w:p>
    <w:p>
      <w:pPr>
        <w:pStyle w:val="ListBullet"/>
        <w:numPr>
          <w:ilvl w:val="0"/>
          <w:numId w:val="1"/>
        </w:numPr>
        <w:spacing w:lineRule="auto" w:line="276" w:before="0" w:after="80"/>
        <w:ind w:hanging="259" w:start="461"/>
        <w:contextualSpacing/>
        <w:rPr/>
      </w:pPr>
      <w:r>
        <w:rPr>
          <w:b w:val="false"/>
          <w:color w:val="202723"/>
          <w:sz w:val="21"/>
        </w:rPr>
        <w:t>Identify hazards and use the hierarchy of controls.</w:t>
      </w:r>
    </w:p>
    <w:p>
      <w:pPr>
        <w:pStyle w:val="ListBullet"/>
        <w:numPr>
          <w:ilvl w:val="0"/>
          <w:numId w:val="1"/>
        </w:numPr>
        <w:spacing w:lineRule="auto" w:line="276" w:before="0" w:after="80"/>
        <w:ind w:hanging="259" w:start="461"/>
        <w:contextualSpacing/>
        <w:rPr/>
      </w:pPr>
      <w:r>
        <w:rPr>
          <w:b w:val="false"/>
          <w:color w:val="202723"/>
          <w:sz w:val="21"/>
        </w:rPr>
        <w:t>Provide required training, tools, supervision and PPE.</w:t>
      </w:r>
    </w:p>
    <w:p>
      <w:pPr>
        <w:pStyle w:val="ListBullet"/>
        <w:numPr>
          <w:ilvl w:val="0"/>
          <w:numId w:val="1"/>
        </w:numPr>
        <w:spacing w:lineRule="auto" w:line="276" w:before="0" w:after="80"/>
        <w:ind w:hanging="259" w:start="461"/>
        <w:contextualSpacing/>
        <w:rPr/>
      </w:pPr>
      <w:r>
        <w:rPr>
          <w:b w:val="false"/>
          <w:color w:val="202723"/>
          <w:sz w:val="21"/>
        </w:rPr>
        <w:t>Maintain good-faith stop-work and reporting authority.</w:t>
      </w:r>
    </w:p>
    <w:p>
      <w:pPr>
        <w:pStyle w:val="ListBullet"/>
        <w:numPr>
          <w:ilvl w:val="0"/>
          <w:numId w:val="1"/>
        </w:numPr>
        <w:spacing w:lineRule="auto" w:line="276" w:before="0" w:after="80"/>
        <w:ind w:hanging="259" w:start="461"/>
        <w:contextualSpacing/>
        <w:rPr/>
      </w:pPr>
      <w:r>
        <w:rPr>
          <w:b w:val="false"/>
          <w:color w:val="202723"/>
          <w:sz w:val="21"/>
        </w:rPr>
        <w:t>Investigate incidents and near misses for system causes.</w:t>
      </w:r>
    </w:p>
    <w:p>
      <w:pPr>
        <w:pStyle w:val="ListBullet"/>
        <w:numPr>
          <w:ilvl w:val="0"/>
          <w:numId w:val="1"/>
        </w:numPr>
        <w:spacing w:lineRule="auto" w:line="276" w:before="0" w:after="80"/>
        <w:ind w:hanging="259" w:start="461"/>
        <w:contextualSpacing/>
        <w:rPr/>
      </w:pPr>
      <w:r>
        <w:rPr>
          <w:b w:val="false"/>
          <w:color w:val="202723"/>
          <w:sz w:val="21"/>
        </w:rPr>
        <w:t>Correct hazards promptly and verify closure.</w:t>
      </w:r>
    </w:p>
    <w:p>
      <w:pPr>
        <w:pStyle w:val="ListBullet"/>
        <w:numPr>
          <w:ilvl w:val="0"/>
          <w:numId w:val="1"/>
        </w:numPr>
        <w:spacing w:lineRule="auto" w:line="276" w:before="0" w:after="80"/>
        <w:ind w:hanging="259" w:start="461"/>
        <w:contextualSpacing/>
        <w:rPr/>
      </w:pPr>
      <w:r>
        <w:rPr>
          <w:b w:val="false"/>
          <w:color w:val="202723"/>
          <w:sz w:val="21"/>
        </w:rPr>
        <w:t>Maintain required records and regulatory reporting.</w:t>
      </w:r>
    </w:p>
    <w:p>
      <w:pPr>
        <w:pStyle w:val="ListBullet"/>
        <w:numPr>
          <w:ilvl w:val="0"/>
          <w:numId w:val="1"/>
        </w:numPr>
        <w:spacing w:lineRule="auto" w:line="276" w:before="0" w:after="80"/>
        <w:ind w:hanging="259" w:start="461"/>
        <w:contextualSpacing/>
        <w:rPr/>
      </w:pPr>
      <w:r>
        <w:rPr>
          <w:b w:val="false"/>
          <w:color w:val="202723"/>
          <w:sz w:val="21"/>
        </w:rPr>
        <w:t>Coordinate multi-employer work and subcontractors.</w:t>
      </w:r>
    </w:p>
    <w:p>
      <w:pPr>
        <w:pStyle w:val="Heading3"/>
        <w:rPr/>
      </w:pPr>
      <w:r>
        <w:rPr>
          <w:rFonts w:ascii="Mendl Sans Dusk Medium" w:hAnsi="Mendl Sans Dusk Medium"/>
          <w:b w:val="false"/>
          <w:color w:val="1E392C"/>
          <w:sz w:val="23"/>
        </w:rPr>
        <w:t>22.3 Project safety startup</w:t>
      </w:r>
    </w:p>
    <w:p>
      <w:pPr>
        <w:pStyle w:val="Normal"/>
        <w:rPr/>
      </w:pPr>
      <w:r>
        <w:rPr>
          <w:b w:val="false"/>
          <w:color w:val="202723"/>
          <w:sz w:val="21"/>
        </w:rPr>
        <w:t>Before mobilization, the project shall establish the applicable APP/SSSP, emergency plan, competent/qualified-person designations, training matrix, chemical/SDS inventory process, inspection schedule, permit requirements, medical/first-aid arrangements and site orientation.</w:t>
      </w:r>
    </w:p>
    <w:p>
      <w:pPr>
        <w:pStyle w:val="Heading3"/>
        <w:rPr/>
      </w:pPr>
      <w:r>
        <w:rPr>
          <w:rFonts w:ascii="Mendl Sans Dusk Medium" w:hAnsi="Mendl Sans Dusk Medium"/>
          <w:b w:val="false"/>
          <w:color w:val="1E392C"/>
          <w:sz w:val="23"/>
        </w:rPr>
        <w:t>22.4 High-risk work</w:t>
      </w:r>
    </w:p>
    <w:p>
      <w:pPr>
        <w:pStyle w:val="Normal"/>
        <w:rPr/>
      </w:pPr>
      <w:r>
        <w:rPr>
          <w:b w:val="false"/>
          <w:color w:val="202723"/>
          <w:sz w:val="21"/>
        </w:rPr>
        <w:t>High-risk work includes, as applicable, falls, excavation, confined spaces, cranes and rigging, electrical/LOTO, hot work, silica, respiratory protection, demolition, traffic exposure, energized systems and hazardous materials. Work begins only when the applicable plan, permit, qualifications, equipment and rescue/emergency arrangements are confirmed.</w:t>
      </w:r>
    </w:p>
    <w:p>
      <w:pPr>
        <w:pStyle w:val="Heading3"/>
        <w:rPr/>
      </w:pPr>
      <w:r>
        <w:rPr>
          <w:rFonts w:ascii="Mendl Sans Dusk Medium" w:hAnsi="Mendl Sans Dusk Medium"/>
          <w:b w:val="false"/>
          <w:color w:val="1E392C"/>
          <w:sz w:val="23"/>
        </w:rPr>
        <w:t>22.5 Incident and near-miss management</w:t>
      </w:r>
    </w:p>
    <w:p>
      <w:pPr>
        <w:pStyle w:val="Normal"/>
        <w:rPr/>
      </w:pPr>
      <w:r>
        <w:rPr>
          <w:b w:val="false"/>
          <w:color w:val="202723"/>
          <w:sz w:val="21"/>
        </w:rPr>
        <w:t>Immediate priorities are medical care, emergency response, scene safety and required notification. Evidence shall be preserved when safe. Investigations identify direct, contributing and organizational causes. Corrective actions have owners, due dates, verification and effectiveness review.</w:t>
      </w:r>
    </w:p>
    <w:p>
      <w:pPr>
        <w:pStyle w:val="Normal"/>
        <w:rPr/>
      </w:pPr>
      <w:r>
        <w:rPr>
          <w:b w:val="false"/>
          <w:color w:val="202723"/>
          <w:sz w:val="21"/>
        </w:rPr>
        <w:t>Regulatory reporting is performed by authorized personnel using current jurisdiction-specific requirements.</w:t>
      </w:r>
      <w:r>
        <w:br w:type="page"/>
      </w:r>
    </w:p>
    <w:p>
      <w:pPr>
        <w:pStyle w:val="Heading2"/>
        <w:keepNext w:val="true"/>
        <w:spacing w:before="0" w:after="120"/>
        <w:rPr/>
      </w:pPr>
      <w:r>
        <w:rPr>
          <w:rFonts w:ascii="Mendl Sans Dusk Medium" w:hAnsi="Mendl Sans Dusk Medium"/>
          <w:b w:val="false"/>
          <w:color w:val="628F79"/>
          <w:sz w:val="26"/>
        </w:rPr>
        <w:t>23. Toolbox-talk management</w:t>
      </w:r>
    </w:p>
    <w:p>
      <w:pPr>
        <w:pStyle w:val="Normal"/>
        <w:rPr/>
      </w:pPr>
      <w:r>
        <w:rPr>
          <w:b w:val="false"/>
          <w:color w:val="202723"/>
          <w:sz w:val="21"/>
        </w:rPr>
        <w:t>Toolbox talks reinforce approved controls and invite crew participation. They are not a substitute for required training or task-specific planning.</w:t>
      </w:r>
    </w:p>
    <w:p>
      <w:pPr>
        <w:pStyle w:val="Normal"/>
        <w:rPr/>
      </w:pPr>
      <w:r>
        <w:rPr>
          <w:b w:val="false"/>
          <w:color w:val="202723"/>
          <w:sz w:val="21"/>
        </w:rPr>
        <w:t>Each controlled talk includes:</w:t>
      </w:r>
    </w:p>
    <w:p>
      <w:pPr>
        <w:pStyle w:val="ListBullet"/>
        <w:numPr>
          <w:ilvl w:val="0"/>
          <w:numId w:val="1"/>
        </w:numPr>
        <w:spacing w:lineRule="auto" w:line="276" w:before="0" w:after="80"/>
        <w:ind w:hanging="259" w:start="461"/>
        <w:contextualSpacing/>
        <w:rPr/>
      </w:pPr>
      <w:r>
        <w:rPr>
          <w:b w:val="false"/>
          <w:color w:val="202723"/>
          <w:sz w:val="21"/>
        </w:rPr>
        <w:t>stable topic ID, title, revision and owner;</w:t>
      </w:r>
    </w:p>
    <w:p>
      <w:pPr>
        <w:pStyle w:val="ListBullet"/>
        <w:numPr>
          <w:ilvl w:val="0"/>
          <w:numId w:val="1"/>
        </w:numPr>
        <w:spacing w:lineRule="auto" w:line="276" w:before="0" w:after="80"/>
        <w:ind w:hanging="259" w:start="461"/>
        <w:contextualSpacing/>
        <w:rPr/>
      </w:pPr>
      <w:r>
        <w:rPr>
          <w:b w:val="false"/>
          <w:color w:val="202723"/>
          <w:sz w:val="21"/>
        </w:rPr>
        <w:t>audience, prerequisites and estimated duration;</w:t>
      </w:r>
    </w:p>
    <w:p>
      <w:pPr>
        <w:pStyle w:val="ListBullet"/>
        <w:numPr>
          <w:ilvl w:val="0"/>
          <w:numId w:val="1"/>
        </w:numPr>
        <w:spacing w:lineRule="auto" w:line="276" w:before="0" w:after="80"/>
        <w:ind w:hanging="259" w:start="461"/>
        <w:contextualSpacing/>
        <w:rPr/>
      </w:pPr>
      <w:r>
        <w:rPr>
          <w:b w:val="false"/>
          <w:color w:val="202723"/>
          <w:sz w:val="21"/>
        </w:rPr>
        <w:t>governing program and official references;</w:t>
      </w:r>
    </w:p>
    <w:p>
      <w:pPr>
        <w:pStyle w:val="ListBullet"/>
        <w:numPr>
          <w:ilvl w:val="0"/>
          <w:numId w:val="1"/>
        </w:numPr>
        <w:spacing w:lineRule="auto" w:line="276" w:before="0" w:after="80"/>
        <w:ind w:hanging="259" w:start="461"/>
        <w:contextualSpacing/>
        <w:rPr/>
      </w:pPr>
      <w:r>
        <w:rPr>
          <w:b w:val="false"/>
          <w:color w:val="202723"/>
          <w:sz w:val="21"/>
        </w:rPr>
        <w:t>learning objectives;</w:t>
      </w:r>
    </w:p>
    <w:p>
      <w:pPr>
        <w:pStyle w:val="ListBullet"/>
        <w:numPr>
          <w:ilvl w:val="0"/>
          <w:numId w:val="1"/>
        </w:numPr>
        <w:spacing w:lineRule="auto" w:line="276" w:before="0" w:after="80"/>
        <w:ind w:hanging="259" w:start="461"/>
        <w:contextualSpacing/>
        <w:rPr/>
      </w:pPr>
      <w:r>
        <w:rPr>
          <w:b w:val="false"/>
          <w:color w:val="202723"/>
          <w:sz w:val="21"/>
        </w:rPr>
        <w:t>key hazards and controls;</w:t>
      </w:r>
    </w:p>
    <w:p>
      <w:pPr>
        <w:pStyle w:val="ListBullet"/>
        <w:numPr>
          <w:ilvl w:val="0"/>
          <w:numId w:val="1"/>
        </w:numPr>
        <w:spacing w:lineRule="auto" w:line="276" w:before="0" w:after="80"/>
        <w:ind w:hanging="259" w:start="461"/>
        <w:contextualSpacing/>
        <w:rPr/>
      </w:pPr>
      <w:r>
        <w:rPr>
          <w:b w:val="false"/>
          <w:color w:val="202723"/>
          <w:sz w:val="21"/>
        </w:rPr>
        <w:t>site-specific discussion prompts;</w:t>
      </w:r>
    </w:p>
    <w:p>
      <w:pPr>
        <w:pStyle w:val="ListBullet"/>
        <w:numPr>
          <w:ilvl w:val="0"/>
          <w:numId w:val="1"/>
        </w:numPr>
        <w:spacing w:lineRule="auto" w:line="276" w:before="0" w:after="80"/>
        <w:ind w:hanging="259" w:start="461"/>
        <w:contextualSpacing/>
        <w:rPr/>
      </w:pPr>
      <w:r>
        <w:rPr>
          <w:b w:val="false"/>
          <w:color w:val="202723"/>
          <w:sz w:val="21"/>
        </w:rPr>
        <w:t>comprehension questions;</w:t>
      </w:r>
    </w:p>
    <w:p>
      <w:pPr>
        <w:pStyle w:val="ListBullet"/>
        <w:numPr>
          <w:ilvl w:val="0"/>
          <w:numId w:val="1"/>
        </w:numPr>
        <w:spacing w:lineRule="auto" w:line="276" w:before="0" w:after="80"/>
        <w:ind w:hanging="259" w:start="461"/>
        <w:contextualSpacing/>
        <w:rPr/>
      </w:pPr>
      <w:r>
        <w:rPr>
          <w:b w:val="false"/>
          <w:color w:val="202723"/>
          <w:sz w:val="21"/>
        </w:rPr>
        <w:t>required forms/permits;</w:t>
      </w:r>
    </w:p>
    <w:p>
      <w:pPr>
        <w:pStyle w:val="ListBullet"/>
        <w:numPr>
          <w:ilvl w:val="0"/>
          <w:numId w:val="1"/>
        </w:numPr>
        <w:spacing w:lineRule="auto" w:line="276" w:before="0" w:after="80"/>
        <w:ind w:hanging="259" w:start="461"/>
        <w:contextualSpacing/>
        <w:rPr/>
      </w:pPr>
      <w:r>
        <w:rPr>
          <w:b w:val="false"/>
          <w:color w:val="202723"/>
          <w:sz w:val="21"/>
        </w:rPr>
        <w:t>technical review and approval;</w:t>
      </w:r>
    </w:p>
    <w:p>
      <w:pPr>
        <w:pStyle w:val="ListBullet"/>
        <w:numPr>
          <w:ilvl w:val="0"/>
          <w:numId w:val="1"/>
        </w:numPr>
        <w:spacing w:lineRule="auto" w:line="276" w:before="0" w:after="80"/>
        <w:ind w:hanging="259" w:start="461"/>
        <w:contextualSpacing/>
        <w:rPr/>
      </w:pPr>
      <w:r>
        <w:rPr>
          <w:b w:val="false"/>
          <w:color w:val="202723"/>
          <w:sz w:val="21"/>
        </w:rPr>
        <w:t>attendance record and retention.</w:t>
      </w:r>
    </w:p>
    <w:p>
      <w:pPr>
        <w:pStyle w:val="Normal"/>
        <w:rPr/>
      </w:pPr>
      <w:r>
        <w:rPr>
          <w:b w:val="false"/>
          <w:color w:val="202723"/>
          <w:sz w:val="21"/>
        </w:rPr>
        <w:t>Complex talks may have a short crew sheet and a longer facilitator annex. Translations must be controlled and reviewed for meaning, not only literal language.</w:t>
      </w:r>
      <w:r>
        <w:br w:type="page"/>
      </w:r>
    </w:p>
    <w:p>
      <w:pPr>
        <w:pStyle w:val="Heading2"/>
        <w:keepNext w:val="true"/>
        <w:spacing w:before="0" w:after="120"/>
        <w:rPr/>
      </w:pPr>
      <w:r>
        <w:rPr>
          <w:rFonts w:ascii="Mendl Sans Dusk Medium" w:hAnsi="Mendl Sans Dusk Medium"/>
          <w:b w:val="false"/>
          <w:color w:val="628F79"/>
          <w:sz w:val="26"/>
        </w:rPr>
        <w:t>24. Hazard communication and SDS management</w:t>
      </w:r>
    </w:p>
    <w:p>
      <w:pPr>
        <w:pStyle w:val="Normal"/>
        <w:rPr/>
      </w:pPr>
      <w:r>
        <w:rPr>
          <w:b w:val="false"/>
          <w:color w:val="202723"/>
          <w:sz w:val="21"/>
        </w:rPr>
        <w:t>The Hazard Communication program shall maintain:</w:t>
      </w:r>
    </w:p>
    <w:p>
      <w:pPr>
        <w:pStyle w:val="ListBullet"/>
        <w:numPr>
          <w:ilvl w:val="0"/>
          <w:numId w:val="1"/>
        </w:numPr>
        <w:spacing w:lineRule="auto" w:line="276" w:before="0" w:after="80"/>
        <w:ind w:hanging="259" w:start="461"/>
        <w:contextualSpacing/>
        <w:rPr/>
      </w:pPr>
      <w:r>
        <w:rPr>
          <w:b w:val="false"/>
          <w:color w:val="202723"/>
          <w:sz w:val="21"/>
        </w:rPr>
        <w:t>a written program for each workplace as required;</w:t>
      </w:r>
    </w:p>
    <w:p>
      <w:pPr>
        <w:pStyle w:val="ListBullet"/>
        <w:numPr>
          <w:ilvl w:val="0"/>
          <w:numId w:val="1"/>
        </w:numPr>
        <w:spacing w:lineRule="auto" w:line="276" w:before="0" w:after="80"/>
        <w:ind w:hanging="259" w:start="461"/>
        <w:contextualSpacing/>
        <w:rPr/>
      </w:pPr>
      <w:r>
        <w:rPr>
          <w:b w:val="false"/>
          <w:color w:val="202723"/>
          <w:sz w:val="21"/>
        </w:rPr>
        <w:t>exact-product chemical inventories;</w:t>
      </w:r>
    </w:p>
    <w:p>
      <w:pPr>
        <w:pStyle w:val="ListBullet"/>
        <w:numPr>
          <w:ilvl w:val="0"/>
          <w:numId w:val="1"/>
        </w:numPr>
        <w:spacing w:lineRule="auto" w:line="276" w:before="0" w:after="80"/>
        <w:ind w:hanging="259" w:start="461"/>
        <w:contextualSpacing/>
        <w:rPr/>
      </w:pPr>
      <w:r>
        <w:rPr>
          <w:b w:val="false"/>
          <w:color w:val="202723"/>
          <w:sz w:val="21"/>
        </w:rPr>
        <w:t>current manufacturer-specific SDSs;</w:t>
      </w:r>
    </w:p>
    <w:p>
      <w:pPr>
        <w:pStyle w:val="ListBullet"/>
        <w:numPr>
          <w:ilvl w:val="0"/>
          <w:numId w:val="1"/>
        </w:numPr>
        <w:spacing w:lineRule="auto" w:line="276" w:before="0" w:after="80"/>
        <w:ind w:hanging="259" w:start="461"/>
        <w:contextualSpacing/>
        <w:rPr/>
      </w:pPr>
      <w:r>
        <w:rPr>
          <w:b w:val="false"/>
          <w:color w:val="202723"/>
          <w:sz w:val="21"/>
        </w:rPr>
        <w:t>compliant container and workplace labeling;</w:t>
      </w:r>
    </w:p>
    <w:p>
      <w:pPr>
        <w:pStyle w:val="ListBullet"/>
        <w:numPr>
          <w:ilvl w:val="0"/>
          <w:numId w:val="1"/>
        </w:numPr>
        <w:spacing w:lineRule="auto" w:line="276" w:before="0" w:after="80"/>
        <w:ind w:hanging="259" w:start="461"/>
        <w:contextualSpacing/>
        <w:rPr/>
      </w:pPr>
      <w:r>
        <w:rPr>
          <w:b w:val="false"/>
          <w:color w:val="202723"/>
          <w:sz w:val="21"/>
        </w:rPr>
        <w:t>employee information and training;</w:t>
      </w:r>
    </w:p>
    <w:p>
      <w:pPr>
        <w:pStyle w:val="ListBullet"/>
        <w:numPr>
          <w:ilvl w:val="0"/>
          <w:numId w:val="1"/>
        </w:numPr>
        <w:spacing w:lineRule="auto" w:line="276" w:before="0" w:after="80"/>
        <w:ind w:hanging="259" w:start="461"/>
        <w:contextualSpacing/>
        <w:rPr/>
      </w:pPr>
      <w:r>
        <w:rPr>
          <w:b w:val="false"/>
          <w:color w:val="202723"/>
          <w:sz w:val="21"/>
        </w:rPr>
        <w:t>subcontractor/multi-employer coordination;</w:t>
      </w:r>
    </w:p>
    <w:p>
      <w:pPr>
        <w:pStyle w:val="ListBullet"/>
        <w:numPr>
          <w:ilvl w:val="0"/>
          <w:numId w:val="1"/>
        </w:numPr>
        <w:spacing w:lineRule="auto" w:line="276" w:before="0" w:after="80"/>
        <w:ind w:hanging="259" w:start="461"/>
        <w:contextualSpacing/>
        <w:rPr/>
      </w:pPr>
      <w:r>
        <w:rPr>
          <w:b w:val="false"/>
          <w:color w:val="202723"/>
          <w:sz w:val="21"/>
        </w:rPr>
        <w:t>immediate access during each work shift;</w:t>
      </w:r>
    </w:p>
    <w:p>
      <w:pPr>
        <w:pStyle w:val="ListBullet"/>
        <w:numPr>
          <w:ilvl w:val="0"/>
          <w:numId w:val="1"/>
        </w:numPr>
        <w:spacing w:lineRule="auto" w:line="276" w:before="0" w:after="80"/>
        <w:ind w:hanging="259" w:start="461"/>
        <w:contextualSpacing/>
        <w:rPr/>
      </w:pPr>
      <w:r>
        <w:rPr>
          <w:b w:val="false"/>
          <w:color w:val="202723"/>
          <w:sz w:val="21"/>
        </w:rPr>
        <w:t>reliable offline or paper backup when electronic access could fail;</w:t>
      </w:r>
    </w:p>
    <w:p>
      <w:pPr>
        <w:pStyle w:val="ListBullet"/>
        <w:numPr>
          <w:ilvl w:val="0"/>
          <w:numId w:val="1"/>
        </w:numPr>
        <w:spacing w:lineRule="auto" w:line="276" w:before="0" w:after="80"/>
        <w:ind w:hanging="259" w:start="461"/>
        <w:contextualSpacing/>
        <w:rPr/>
      </w:pPr>
      <w:r>
        <w:rPr>
          <w:b w:val="false"/>
          <w:color w:val="202723"/>
          <w:sz w:val="21"/>
        </w:rPr>
        <w:t>periodic inventory/SDS reconciliation.</w:t>
      </w:r>
    </w:p>
    <w:p>
      <w:pPr>
        <w:pStyle w:val="Normal"/>
        <w:rPr/>
      </w:pPr>
      <w:r>
        <w:rPr>
          <w:b w:val="false"/>
          <w:color w:val="202723"/>
          <w:sz w:val="21"/>
        </w:rPr>
        <w:t xml:space="preserve">MH quick-reference cards may summarize information but must display the exact product and manufacturer, source SDS revision, and the warning: </w:t>
      </w:r>
      <w:r>
        <w:rPr>
          <w:rFonts w:ascii="Mendl Sans Dusk Bold" w:hAnsi="Mendl Sans Dusk Bold"/>
          <w:b/>
          <w:color w:val="202723"/>
          <w:sz w:val="21"/>
        </w:rPr>
        <w:t>Quick reference only - does not replace the manufacturer SDS.</w:t>
      </w:r>
      <w:r>
        <w:br w:type="page"/>
      </w:r>
    </w:p>
    <w:p>
      <w:pPr>
        <w:pStyle w:val="Heading2"/>
        <w:keepNext w:val="true"/>
        <w:spacing w:before="0" w:after="120"/>
        <w:rPr/>
      </w:pPr>
      <w:r>
        <w:rPr>
          <w:rFonts w:ascii="Mendl Sans Dusk Medium" w:hAnsi="Mendl Sans Dusk Medium"/>
          <w:b w:val="false"/>
          <w:color w:val="628F79"/>
          <w:sz w:val="26"/>
        </w:rPr>
        <w:t>25. Environmental management</w:t>
      </w:r>
    </w:p>
    <w:p>
      <w:pPr>
        <w:pStyle w:val="Normal"/>
        <w:rPr/>
      </w:pPr>
      <w:r>
        <w:rPr>
          <w:b w:val="false"/>
          <w:color w:val="202723"/>
          <w:sz w:val="21"/>
        </w:rPr>
        <w:t>Projects shall identify environmental permits, owner requirements and significant aspects such as stormwater, erosion, dust, noise, spills, waste, contaminated soil, refrigerants, hazardous materials and protected resources.</w:t>
      </w:r>
    </w:p>
    <w:p>
      <w:pPr>
        <w:pStyle w:val="Normal"/>
        <w:rPr/>
      </w:pPr>
      <w:r>
        <w:rPr>
          <w:b w:val="false"/>
          <w:color w:val="202723"/>
          <w:sz w:val="21"/>
        </w:rPr>
        <w:t>Environmental controls shall be included in planning, subcontract requirements, inspections and incident response. Waste manifests, disposal receipts, inspections and releases are retained in the project record.</w:t>
      </w:r>
      <w:r>
        <w:br w:type="page"/>
      </w:r>
    </w:p>
    <w:p>
      <w:pPr>
        <w:pStyle w:val="Heading1"/>
        <w:keepNext w:val="true"/>
        <w:spacing w:before="0" w:after="160"/>
        <w:rPr/>
      </w:pPr>
      <w:r>
        <w:rPr>
          <w:rFonts w:ascii="Mendl Sans Dusk Bold" w:hAnsi="Mendl Sans Dusk Bold"/>
          <w:b/>
          <w:color w:val="386851"/>
          <w:sz w:val="32"/>
        </w:rPr>
        <w:t>Part VI - People and assets</w:t>
      </w:r>
      <w:r>
        <w:br w:type="page"/>
      </w:r>
    </w:p>
    <w:p>
      <w:pPr>
        <w:pStyle w:val="Heading2"/>
        <w:keepNext w:val="true"/>
        <w:spacing w:before="0" w:after="120"/>
        <w:rPr/>
      </w:pPr>
      <w:r>
        <w:rPr>
          <w:rFonts w:ascii="Mendl Sans Dusk Medium" w:hAnsi="Mendl Sans Dusk Medium"/>
          <w:b w:val="false"/>
          <w:color w:val="628F79"/>
          <w:sz w:val="26"/>
        </w:rPr>
        <w:t>26. Human resources and employee lifecycle</w:t>
      </w:r>
    </w:p>
    <w:p>
      <w:pPr>
        <w:pStyle w:val="Normal"/>
        <w:rPr/>
      </w:pPr>
      <w:r>
        <w:rPr>
          <w:b w:val="false"/>
          <w:color w:val="202723"/>
          <w:sz w:val="21"/>
        </w:rPr>
        <w:t>The Employee Handbook is the controlling source for employment policies and must be reviewed for each state in which employees work. This EMS does not replace it.</w:t>
      </w:r>
    </w:p>
    <w:p>
      <w:pPr>
        <w:pStyle w:val="Heading3"/>
        <w:rPr/>
      </w:pPr>
      <w:r>
        <w:rPr>
          <w:rFonts w:ascii="Mendl Sans Dusk Medium" w:hAnsi="Mendl Sans Dusk Medium"/>
          <w:b w:val="false"/>
          <w:color w:val="1E392C"/>
          <w:sz w:val="23"/>
        </w:rPr>
        <w:t>26.1 Workforce planning and hiring</w:t>
      </w:r>
    </w:p>
    <w:p>
      <w:pPr>
        <w:pStyle w:val="Normal"/>
        <w:rPr/>
      </w:pPr>
      <w:r>
        <w:rPr>
          <w:b w:val="false"/>
          <w:color w:val="202723"/>
          <w:sz w:val="21"/>
        </w:rPr>
        <w:t>Positions require a current description defining duties, supervisor, authority, physical/technical requirements and required credentials. Hiring and screening shall be lawful, consistent and documented.</w:t>
      </w:r>
    </w:p>
    <w:p>
      <w:pPr>
        <w:pStyle w:val="Heading3"/>
        <w:rPr/>
      </w:pPr>
      <w:r>
        <w:rPr>
          <w:rFonts w:ascii="Mendl Sans Dusk Medium" w:hAnsi="Mendl Sans Dusk Medium"/>
          <w:b w:val="false"/>
          <w:color w:val="1E392C"/>
          <w:sz w:val="23"/>
        </w:rPr>
        <w:t>26.2 Onboarding</w:t>
      </w:r>
    </w:p>
    <w:p>
      <w:pPr>
        <w:pStyle w:val="Normal"/>
        <w:rPr/>
      </w:pPr>
      <w:r>
        <w:rPr>
          <w:b w:val="false"/>
          <w:color w:val="202723"/>
          <w:sz w:val="21"/>
        </w:rPr>
        <w:t>Onboarding includes employment forms, handbook acknowledgment, role expectations, safety orientation, systems access, data-security training, equipment/property issuance, required credentials and a 30/60/90-day plan.</w:t>
      </w:r>
    </w:p>
    <w:p>
      <w:pPr>
        <w:pStyle w:val="Normal"/>
        <w:rPr/>
      </w:pPr>
      <w:r>
        <w:rPr>
          <w:b w:val="false"/>
          <w:color w:val="202723"/>
          <w:sz w:val="21"/>
        </w:rPr>
        <w:t>Access and physical assets should not be issued before required approvals. Safety-critical work cannot be assigned until the worker is trained, authorized and, where applicable, medically cleared and fit-tested.</w:t>
      </w:r>
    </w:p>
    <w:p>
      <w:pPr>
        <w:pStyle w:val="Heading3"/>
        <w:rPr/>
      </w:pPr>
      <w:r>
        <w:rPr>
          <w:rFonts w:ascii="Mendl Sans Dusk Medium" w:hAnsi="Mendl Sans Dusk Medium"/>
          <w:b w:val="false"/>
          <w:color w:val="1E392C"/>
          <w:sz w:val="23"/>
        </w:rPr>
        <w:t>26.3 Training and competency</w:t>
      </w:r>
    </w:p>
    <w:p>
      <w:pPr>
        <w:pStyle w:val="Normal"/>
        <w:rPr/>
      </w:pPr>
      <w:r>
        <w:rPr>
          <w:b w:val="false"/>
          <w:color w:val="202723"/>
          <w:sz w:val="21"/>
        </w:rPr>
        <w:t>The company shall maintain a role-based training matrix showing requirement, source, initial/refresh trigger, provider, completion, expiration if any, evidence and restrictions.</w:t>
      </w:r>
    </w:p>
    <w:p>
      <w:pPr>
        <w:pStyle w:val="Normal"/>
        <w:rPr/>
      </w:pPr>
      <w:r>
        <w:rPr>
          <w:b w:val="false"/>
          <w:color w:val="202723"/>
          <w:sz w:val="21"/>
        </w:rPr>
        <w:t>OSHA 10/30 Outreach cards shall be described accurately as completion cards for voluntary hazard-awareness training unless a contract or state/local rule imposes a requirement. MH may set an internal refresh standard, but it must be labeled as company policy.</w:t>
      </w:r>
    </w:p>
    <w:p>
      <w:pPr>
        <w:pStyle w:val="Heading3"/>
        <w:rPr/>
      </w:pPr>
      <w:r>
        <w:rPr>
          <w:rFonts w:ascii="Mendl Sans Dusk Medium" w:hAnsi="Mendl Sans Dusk Medium"/>
          <w:b w:val="false"/>
          <w:color w:val="1E392C"/>
          <w:sz w:val="23"/>
        </w:rPr>
        <w:t>26.4 Performance and development</w:t>
      </w:r>
    </w:p>
    <w:p>
      <w:pPr>
        <w:pStyle w:val="Normal"/>
        <w:rPr/>
      </w:pPr>
      <w:r>
        <w:rPr>
          <w:b w:val="false"/>
          <w:color w:val="202723"/>
          <w:sz w:val="21"/>
        </w:rPr>
        <w:t>Performance expectations connect to role results, safety, quality, values, leadership and development. Reviews include evidence, two-way feedback, goals, training and follow-up. Discipline and performance improvement follow the Employee Handbook and applicable law.</w:t>
      </w:r>
    </w:p>
    <w:p>
      <w:pPr>
        <w:pStyle w:val="Heading3"/>
        <w:rPr/>
      </w:pPr>
      <w:r>
        <w:rPr>
          <w:rFonts w:ascii="Mendl Sans Dusk Medium" w:hAnsi="Mendl Sans Dusk Medium"/>
          <w:b w:val="false"/>
          <w:color w:val="1E392C"/>
          <w:sz w:val="23"/>
        </w:rPr>
        <w:t>26.5 Separation</w:t>
      </w:r>
    </w:p>
    <w:p>
      <w:pPr>
        <w:pStyle w:val="Normal"/>
        <w:rPr/>
      </w:pPr>
      <w:r>
        <w:rPr>
          <w:b w:val="false"/>
          <w:color w:val="202723"/>
          <w:sz w:val="21"/>
        </w:rPr>
        <w:t>Separation triggers coordinated HR, payroll, access, property, benefits, records and communication actions. System access is revoked at the risk-appropriate time, privileged access immediately, and company information is preserved.</w:t>
      </w:r>
      <w:r>
        <w:br w:type="page"/>
      </w:r>
    </w:p>
    <w:p>
      <w:pPr>
        <w:pStyle w:val="Heading2"/>
        <w:keepNext w:val="true"/>
        <w:spacing w:before="0" w:after="120"/>
        <w:rPr/>
      </w:pPr>
      <w:r>
        <w:rPr>
          <w:rFonts w:ascii="Mendl Sans Dusk Medium" w:hAnsi="Mendl Sans Dusk Medium"/>
          <w:b w:val="false"/>
          <w:color w:val="628F79"/>
          <w:sz w:val="26"/>
        </w:rPr>
        <w:t>27. Equipment, fleet and tools</w:t>
      </w:r>
    </w:p>
    <w:p>
      <w:pPr>
        <w:pStyle w:val="Normal"/>
        <w:rPr/>
      </w:pPr>
      <w:r>
        <w:rPr>
          <w:b w:val="false"/>
          <w:color w:val="202723"/>
          <w:sz w:val="21"/>
        </w:rPr>
        <w:t>Every controlled asset shall have an owner, unique ID, status, location, inspection/maintenance requirements and operating restrictions.</w:t>
      </w:r>
    </w:p>
    <w:p>
      <w:pPr>
        <w:pStyle w:val="Normal"/>
        <w:rPr/>
      </w:pPr>
      <w:r>
        <w:rPr>
          <w:b w:val="false"/>
          <w:color w:val="202723"/>
          <w:sz w:val="21"/>
        </w:rPr>
        <w:t>Only trained and authorized personnel may operate equipment. Manufacturer instructions and applicable standards control inspection and use. Defective equipment is tagged out and segregated until repaired and released.</w:t>
      </w:r>
    </w:p>
    <w:p>
      <w:pPr>
        <w:pStyle w:val="Normal"/>
        <w:rPr/>
      </w:pPr>
      <w:r>
        <w:rPr>
          <w:b w:val="false"/>
          <w:color w:val="202723"/>
          <w:sz w:val="21"/>
        </w:rPr>
        <w:t>Vehicle and mobile-equipment programs include driver authorization, MVR review where lawful, pre-use inspection, seat belts, distracted-driving controls, incident reporting, maintenance, load securement and personal-use rules.</w:t>
      </w:r>
      <w:r>
        <w:br w:type="page"/>
      </w:r>
    </w:p>
    <w:p>
      <w:pPr>
        <w:pStyle w:val="Heading2"/>
        <w:keepNext w:val="true"/>
        <w:spacing w:before="0" w:after="120"/>
        <w:rPr/>
      </w:pPr>
      <w:r>
        <w:rPr>
          <w:rFonts w:ascii="Mendl Sans Dusk Medium" w:hAnsi="Mendl Sans Dusk Medium"/>
          <w:b w:val="false"/>
          <w:color w:val="628F79"/>
          <w:sz w:val="26"/>
        </w:rPr>
        <w:t>28. Warehouse and materials</w:t>
      </w:r>
    </w:p>
    <w:p>
      <w:pPr>
        <w:pStyle w:val="Normal"/>
        <w:rPr/>
      </w:pPr>
      <w:r>
        <w:rPr>
          <w:b w:val="false"/>
          <w:color w:val="202723"/>
          <w:sz w:val="21"/>
        </w:rPr>
        <w:t>Warehouse controls cover receiving, inspection, storage, inventory, tool checkout, hazardous-material segregation, damaged goods, calibration when applicable, delivery evidence and return/disposal.</w:t>
      </w:r>
    </w:p>
    <w:p>
      <w:pPr>
        <w:pStyle w:val="Normal"/>
        <w:rPr/>
      </w:pPr>
      <w:r>
        <w:rPr>
          <w:b w:val="false"/>
          <w:color w:val="202723"/>
          <w:sz w:val="21"/>
        </w:rPr>
        <w:t>Chemical receipt is not complete until the product is approved, the exact SDS is available, the container is labeled and the chemical inventory is updated.</w:t>
      </w:r>
      <w:r>
        <w:br w:type="page"/>
      </w:r>
    </w:p>
    <w:p>
      <w:pPr>
        <w:pStyle w:val="Heading1"/>
        <w:keepNext w:val="true"/>
        <w:spacing w:before="0" w:after="160"/>
        <w:rPr/>
      </w:pPr>
      <w:r>
        <w:rPr>
          <w:rFonts w:ascii="Mendl Sans Dusk Bold" w:hAnsi="Mendl Sans Dusk Bold"/>
          <w:b/>
          <w:color w:val="386851"/>
          <w:sz w:val="32"/>
        </w:rPr>
        <w:t>Part VII - Technology, resilience and enterprise risk</w:t>
      </w:r>
      <w:r>
        <w:br w:type="page"/>
      </w:r>
    </w:p>
    <w:p>
      <w:pPr>
        <w:pStyle w:val="Heading2"/>
        <w:keepNext w:val="true"/>
        <w:spacing w:before="0" w:after="120"/>
        <w:rPr/>
      </w:pPr>
      <w:r>
        <w:rPr>
          <w:rFonts w:ascii="Mendl Sans Dusk Medium" w:hAnsi="Mendl Sans Dusk Medium"/>
          <w:b w:val="false"/>
          <w:color w:val="628F79"/>
          <w:sz w:val="26"/>
        </w:rPr>
        <w:t>29. Information technology and data governance</w:t>
      </w:r>
    </w:p>
    <w:p>
      <w:pPr>
        <w:pStyle w:val="Heading3"/>
        <w:rPr/>
      </w:pPr>
      <w:r>
        <w:rPr>
          <w:rFonts w:ascii="Mendl Sans Dusk Medium" w:hAnsi="Mendl Sans Dusk Medium"/>
          <w:b w:val="false"/>
          <w:color w:val="1E392C"/>
          <w:sz w:val="23"/>
        </w:rPr>
        <w:t>29.1 System-of-record matrix</w:t>
      </w:r>
    </w:p>
    <w:p>
      <w:pPr>
        <w:pStyle w:val="Normal"/>
        <w:rPr/>
      </w:pPr>
      <w:r>
        <w:rPr>
          <w:b w:val="false"/>
          <w:color w:val="202723"/>
          <w:sz w:val="21"/>
        </w:rPr>
        <w:t>The company shall name the authoritative system for each record class. At minimum:</w:t>
      </w:r>
    </w:p>
    <w:tbl>
      <w:tblPr>
        <w:tblStyle w:val="TableGrid"/>
        <w:tblW w:w="9878"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4939"/>
        <w:gridCol w:w="4939"/>
      </w:tblGrid>
      <w:tr>
        <w:trPr/>
        <w:tc>
          <w:tcPr>
            <w:tcW w:w="49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Record class</w:t>
            </w:r>
          </w:p>
        </w:tc>
        <w:tc>
          <w:tcPr>
            <w:tcW w:w="49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Required decision</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Project records</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Approved project-management system and archive location.</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Accounting/job cost</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Approved accounting system.</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CRM/opportunities</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Approved CRM.</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Employee records</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Restricted HR/payroll system.</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Controlled manuals</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Approved repository with version history.</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Source code/automation</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Private version-control repository.</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Safety/SDS field access</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Approved online source plus tested offline fallback.</w:t>
            </w:r>
          </w:p>
        </w:tc>
      </w:tr>
    </w:tbl>
    <w:p>
      <w:pPr>
        <w:pStyle w:val="Normal"/>
        <w:spacing w:before="0" w:after="20"/>
        <w:rPr/>
      </w:pPr>
      <w:r>
        <w:rPr/>
      </w:r>
    </w:p>
    <w:p>
      <w:pPr>
        <w:pStyle w:val="Normal"/>
        <w:rPr/>
      </w:pPr>
      <w:r>
        <w:rPr>
          <w:b w:val="false"/>
          <w:color w:val="202723"/>
          <w:sz w:val="21"/>
        </w:rPr>
        <w:t>Duplicated repositories must have an explicit master/follower relationship and synchronization owner.</w:t>
      </w:r>
    </w:p>
    <w:p>
      <w:pPr>
        <w:pStyle w:val="Heading3"/>
        <w:rPr/>
      </w:pPr>
      <w:r>
        <w:rPr>
          <w:rFonts w:ascii="Mendl Sans Dusk Medium" w:hAnsi="Mendl Sans Dusk Medium"/>
          <w:b w:val="false"/>
          <w:color w:val="1E392C"/>
          <w:sz w:val="23"/>
        </w:rPr>
        <w:t>29.2 Security baseline</w:t>
      </w:r>
    </w:p>
    <w:p>
      <w:pPr>
        <w:pStyle w:val="Normal"/>
        <w:rPr/>
      </w:pPr>
      <w:r>
        <w:rPr>
          <w:b w:val="false"/>
          <w:color w:val="202723"/>
          <w:sz w:val="21"/>
        </w:rPr>
        <w:t>The security program follows NIST CSF 2.0's Govern, Identify, Protect, Detect, Respond and Recover functions. Minimum controls include:</w:t>
      </w:r>
    </w:p>
    <w:p>
      <w:pPr>
        <w:pStyle w:val="ListBullet"/>
        <w:numPr>
          <w:ilvl w:val="0"/>
          <w:numId w:val="1"/>
        </w:numPr>
        <w:spacing w:lineRule="auto" w:line="276" w:before="0" w:after="80"/>
        <w:ind w:hanging="259" w:start="461"/>
        <w:contextualSpacing/>
        <w:rPr/>
      </w:pPr>
      <w:r>
        <w:rPr>
          <w:b w:val="false"/>
          <w:color w:val="202723"/>
          <w:sz w:val="21"/>
        </w:rPr>
        <w:t>inventory of users, devices, applications, vendors and data;</w:t>
      </w:r>
    </w:p>
    <w:p>
      <w:pPr>
        <w:pStyle w:val="ListBullet"/>
        <w:numPr>
          <w:ilvl w:val="0"/>
          <w:numId w:val="1"/>
        </w:numPr>
        <w:spacing w:lineRule="auto" w:line="276" w:before="0" w:after="80"/>
        <w:ind w:hanging="259" w:start="461"/>
        <w:contextualSpacing/>
        <w:rPr/>
      </w:pPr>
      <w:r>
        <w:rPr>
          <w:b w:val="false"/>
          <w:color w:val="202723"/>
          <w:sz w:val="21"/>
        </w:rPr>
        <w:t>role-based access and least privilege;</w:t>
      </w:r>
    </w:p>
    <w:p>
      <w:pPr>
        <w:pStyle w:val="ListBullet"/>
        <w:numPr>
          <w:ilvl w:val="0"/>
          <w:numId w:val="1"/>
        </w:numPr>
        <w:spacing w:lineRule="auto" w:line="276" w:before="0" w:after="80"/>
        <w:ind w:hanging="259" w:start="461"/>
        <w:contextualSpacing/>
        <w:rPr/>
      </w:pPr>
      <w:r>
        <w:rPr>
          <w:b w:val="false"/>
          <w:color w:val="202723"/>
          <w:sz w:val="21"/>
        </w:rPr>
        <w:t>phishing-resistant MFA where available;</w:t>
      </w:r>
    </w:p>
    <w:p>
      <w:pPr>
        <w:pStyle w:val="ListBullet"/>
        <w:numPr>
          <w:ilvl w:val="0"/>
          <w:numId w:val="1"/>
        </w:numPr>
        <w:spacing w:lineRule="auto" w:line="276" w:before="0" w:after="80"/>
        <w:ind w:hanging="259" w:start="461"/>
        <w:contextualSpacing/>
        <w:rPr/>
      </w:pPr>
      <w:r>
        <w:rPr>
          <w:b w:val="false"/>
          <w:color w:val="202723"/>
          <w:sz w:val="21"/>
        </w:rPr>
        <w:t>approved password manager and no credential sharing;</w:t>
      </w:r>
    </w:p>
    <w:p>
      <w:pPr>
        <w:pStyle w:val="ListBullet"/>
        <w:numPr>
          <w:ilvl w:val="0"/>
          <w:numId w:val="1"/>
        </w:numPr>
        <w:spacing w:lineRule="auto" w:line="276" w:before="0" w:after="80"/>
        <w:ind w:hanging="259" w:start="461"/>
        <w:contextualSpacing/>
        <w:rPr/>
      </w:pPr>
      <w:r>
        <w:rPr>
          <w:b w:val="false"/>
          <w:color w:val="202723"/>
          <w:sz w:val="21"/>
        </w:rPr>
        <w:t>managed endpoint protection, patching and encryption;</w:t>
      </w:r>
    </w:p>
    <w:p>
      <w:pPr>
        <w:pStyle w:val="ListBullet"/>
        <w:numPr>
          <w:ilvl w:val="0"/>
          <w:numId w:val="1"/>
        </w:numPr>
        <w:spacing w:lineRule="auto" w:line="276" w:before="0" w:after="80"/>
        <w:ind w:hanging="259" w:start="461"/>
        <w:contextualSpacing/>
        <w:rPr/>
      </w:pPr>
      <w:r>
        <w:rPr>
          <w:b w:val="false"/>
          <w:color w:val="202723"/>
          <w:sz w:val="21"/>
        </w:rPr>
        <w:t>secure backup separated from production credentials;</w:t>
      </w:r>
    </w:p>
    <w:p>
      <w:pPr>
        <w:pStyle w:val="ListBullet"/>
        <w:numPr>
          <w:ilvl w:val="0"/>
          <w:numId w:val="1"/>
        </w:numPr>
        <w:spacing w:lineRule="auto" w:line="276" w:before="0" w:after="80"/>
        <w:ind w:hanging="259" w:start="461"/>
        <w:contextualSpacing/>
        <w:rPr/>
      </w:pPr>
      <w:r>
        <w:rPr>
          <w:b w:val="false"/>
          <w:color w:val="202723"/>
          <w:sz w:val="21"/>
        </w:rPr>
        <w:t>logging and alerting for privileged and high-risk activity;</w:t>
      </w:r>
    </w:p>
    <w:p>
      <w:pPr>
        <w:pStyle w:val="ListBullet"/>
        <w:numPr>
          <w:ilvl w:val="0"/>
          <w:numId w:val="1"/>
        </w:numPr>
        <w:spacing w:lineRule="auto" w:line="276" w:before="0" w:after="80"/>
        <w:ind w:hanging="259" w:start="461"/>
        <w:contextualSpacing/>
        <w:rPr/>
      </w:pPr>
      <w:r>
        <w:rPr>
          <w:b w:val="false"/>
          <w:color w:val="202723"/>
          <w:sz w:val="21"/>
        </w:rPr>
        <w:t>vendor-access approval and periodic review;</w:t>
      </w:r>
    </w:p>
    <w:p>
      <w:pPr>
        <w:pStyle w:val="ListBullet"/>
        <w:numPr>
          <w:ilvl w:val="0"/>
          <w:numId w:val="1"/>
        </w:numPr>
        <w:spacing w:lineRule="auto" w:line="276" w:before="0" w:after="80"/>
        <w:ind w:hanging="259" w:start="461"/>
        <w:contextualSpacing/>
        <w:rPr/>
      </w:pPr>
      <w:r>
        <w:rPr>
          <w:b w:val="false"/>
          <w:color w:val="202723"/>
          <w:sz w:val="21"/>
        </w:rPr>
        <w:t>tested incident-response and recovery plans;</w:t>
      </w:r>
    </w:p>
    <w:p>
      <w:pPr>
        <w:pStyle w:val="ListBullet"/>
        <w:numPr>
          <w:ilvl w:val="0"/>
          <w:numId w:val="1"/>
        </w:numPr>
        <w:spacing w:lineRule="auto" w:line="276" w:before="0" w:after="80"/>
        <w:ind w:hanging="259" w:start="461"/>
        <w:contextualSpacing/>
        <w:rPr/>
      </w:pPr>
      <w:r>
        <w:rPr>
          <w:b w:val="false"/>
          <w:color w:val="202723"/>
          <w:sz w:val="21"/>
        </w:rPr>
        <w:t>security awareness and phishing reporting;</w:t>
      </w:r>
    </w:p>
    <w:p>
      <w:pPr>
        <w:pStyle w:val="ListBullet"/>
        <w:numPr>
          <w:ilvl w:val="0"/>
          <w:numId w:val="1"/>
        </w:numPr>
        <w:spacing w:lineRule="auto" w:line="276" w:before="0" w:after="80"/>
        <w:ind w:hanging="259" w:start="461"/>
        <w:contextualSpacing/>
        <w:rPr/>
      </w:pPr>
      <w:r>
        <w:rPr>
          <w:b w:val="false"/>
          <w:color w:val="202723"/>
          <w:sz w:val="21"/>
        </w:rPr>
        <w:t>prompt removal of access at separation.</w:t>
      </w:r>
    </w:p>
    <w:p>
      <w:pPr>
        <w:pStyle w:val="Heading3"/>
        <w:rPr/>
      </w:pPr>
      <w:r>
        <w:rPr>
          <w:rFonts w:ascii="Mendl Sans Dusk Medium" w:hAnsi="Mendl Sans Dusk Medium"/>
          <w:b w:val="false"/>
          <w:color w:val="1E392C"/>
          <w:sz w:val="23"/>
        </w:rPr>
        <w:t>29.3 Data classification</w:t>
      </w:r>
    </w:p>
    <w:p>
      <w:pPr>
        <w:pStyle w:val="Normal"/>
        <w:rPr/>
      </w:pPr>
      <w:r>
        <w:rPr>
          <w:b w:val="false"/>
          <w:color w:val="202723"/>
          <w:sz w:val="21"/>
        </w:rPr>
        <w:t>Information shall be classified at least as Public, Internal, Confidential or Restricted. Payroll, employee medical information, identity documents, bank data, credentials, legal privilege and certain client information receive Restricted handling.</w:t>
      </w:r>
    </w:p>
    <w:p>
      <w:pPr>
        <w:pStyle w:val="Heading3"/>
        <w:rPr/>
      </w:pPr>
      <w:r>
        <w:rPr>
          <w:rFonts w:ascii="Mendl Sans Dusk Medium" w:hAnsi="Mendl Sans Dusk Medium"/>
          <w:b w:val="false"/>
          <w:color w:val="1E392C"/>
          <w:sz w:val="23"/>
        </w:rPr>
        <w:t>29.4 Backup and recovery</w:t>
      </w:r>
    </w:p>
    <w:p>
      <w:pPr>
        <w:pStyle w:val="Normal"/>
        <w:rPr/>
      </w:pPr>
      <w:r>
        <w:rPr>
          <w:b w:val="false"/>
          <w:color w:val="202723"/>
          <w:sz w:val="21"/>
        </w:rPr>
        <w:t>Each critical system shall have an owner, backup method, recovery-point objective, recovery-time objective, restoration procedure and test cadence. A successful backup job is not proof of recoverability; restoration must be tested.</w:t>
      </w:r>
      <w:r>
        <w:br w:type="page"/>
      </w:r>
    </w:p>
    <w:p>
      <w:pPr>
        <w:pStyle w:val="Heading2"/>
        <w:keepNext w:val="true"/>
        <w:spacing w:before="0" w:after="120"/>
        <w:rPr/>
      </w:pPr>
      <w:r>
        <w:rPr>
          <w:rFonts w:ascii="Mendl Sans Dusk Medium" w:hAnsi="Mendl Sans Dusk Medium"/>
          <w:b w:val="false"/>
          <w:color w:val="628F79"/>
          <w:sz w:val="26"/>
        </w:rPr>
        <w:t>30. Emergency response and business continuity</w:t>
      </w:r>
    </w:p>
    <w:p>
      <w:pPr>
        <w:pStyle w:val="Normal"/>
        <w:rPr/>
      </w:pPr>
      <w:r>
        <w:rPr>
          <w:b w:val="false"/>
          <w:color w:val="202723"/>
          <w:sz w:val="21"/>
        </w:rPr>
        <w:t>Project emergency plans cover credible events, contacts, command, evacuation/shelter, medical response, fire, severe weather, spill, utility strike, security and required notification.</w:t>
      </w:r>
    </w:p>
    <w:p>
      <w:pPr>
        <w:pStyle w:val="Normal"/>
        <w:rPr/>
      </w:pPr>
      <w:r>
        <w:rPr>
          <w:b w:val="false"/>
          <w:color w:val="202723"/>
          <w:sz w:val="21"/>
        </w:rPr>
        <w:t>The enterprise continuity plan covers loss of leadership, facility, power, communications, critical system, banking access, key vendor, major client/project and regional disaster.</w:t>
      </w:r>
    </w:p>
    <w:p>
      <w:pPr>
        <w:pStyle w:val="Normal"/>
        <w:rPr/>
      </w:pPr>
      <w:r>
        <w:rPr>
          <w:b w:val="false"/>
          <w:color w:val="202723"/>
          <w:sz w:val="21"/>
        </w:rPr>
        <w:t>Continuity planning identifies:</w:t>
      </w:r>
    </w:p>
    <w:p>
      <w:pPr>
        <w:pStyle w:val="ListBullet"/>
        <w:numPr>
          <w:ilvl w:val="0"/>
          <w:numId w:val="1"/>
        </w:numPr>
        <w:spacing w:lineRule="auto" w:line="276" w:before="0" w:after="80"/>
        <w:ind w:hanging="259" w:start="461"/>
        <w:contextualSpacing/>
        <w:rPr/>
      </w:pPr>
      <w:r>
        <w:rPr>
          <w:b w:val="false"/>
          <w:color w:val="202723"/>
          <w:sz w:val="21"/>
        </w:rPr>
        <w:t>critical processes and maximum tolerable outage;</w:t>
      </w:r>
    </w:p>
    <w:p>
      <w:pPr>
        <w:pStyle w:val="ListBullet"/>
        <w:numPr>
          <w:ilvl w:val="0"/>
          <w:numId w:val="1"/>
        </w:numPr>
        <w:spacing w:lineRule="auto" w:line="276" w:before="0" w:after="80"/>
        <w:ind w:hanging="259" w:start="461"/>
        <w:contextualSpacing/>
        <w:rPr/>
      </w:pPr>
      <w:r>
        <w:rPr>
          <w:b w:val="false"/>
          <w:color w:val="202723"/>
          <w:sz w:val="21"/>
        </w:rPr>
        <w:t>primary and alternate owners;</w:t>
      </w:r>
    </w:p>
    <w:p>
      <w:pPr>
        <w:pStyle w:val="ListBullet"/>
        <w:numPr>
          <w:ilvl w:val="0"/>
          <w:numId w:val="1"/>
        </w:numPr>
        <w:spacing w:lineRule="auto" w:line="276" w:before="0" w:after="80"/>
        <w:ind w:hanging="259" w:start="461"/>
        <w:contextualSpacing/>
        <w:rPr/>
      </w:pPr>
      <w:r>
        <w:rPr>
          <w:b w:val="false"/>
          <w:color w:val="202723"/>
          <w:sz w:val="21"/>
        </w:rPr>
        <w:t>manual/offline workarounds;</w:t>
      </w:r>
    </w:p>
    <w:p>
      <w:pPr>
        <w:pStyle w:val="ListBullet"/>
        <w:numPr>
          <w:ilvl w:val="0"/>
          <w:numId w:val="1"/>
        </w:numPr>
        <w:spacing w:lineRule="auto" w:line="276" w:before="0" w:after="80"/>
        <w:ind w:hanging="259" w:start="461"/>
        <w:contextualSpacing/>
        <w:rPr/>
      </w:pPr>
      <w:r>
        <w:rPr>
          <w:b w:val="false"/>
          <w:color w:val="202723"/>
          <w:sz w:val="21"/>
        </w:rPr>
        <w:t>internal, client, insurer, regulator and public communications;</w:t>
      </w:r>
    </w:p>
    <w:p>
      <w:pPr>
        <w:pStyle w:val="ListBullet"/>
        <w:numPr>
          <w:ilvl w:val="0"/>
          <w:numId w:val="1"/>
        </w:numPr>
        <w:spacing w:lineRule="auto" w:line="276" w:before="0" w:after="80"/>
        <w:ind w:hanging="259" w:start="461"/>
        <w:contextualSpacing/>
        <w:rPr/>
      </w:pPr>
      <w:r>
        <w:rPr>
          <w:b w:val="false"/>
          <w:color w:val="202723"/>
          <w:sz w:val="21"/>
        </w:rPr>
        <w:t>backup sites, systems and records;</w:t>
      </w:r>
    </w:p>
    <w:p>
      <w:pPr>
        <w:pStyle w:val="ListBullet"/>
        <w:numPr>
          <w:ilvl w:val="0"/>
          <w:numId w:val="1"/>
        </w:numPr>
        <w:spacing w:lineRule="auto" w:line="276" w:before="0" w:after="80"/>
        <w:ind w:hanging="259" w:start="461"/>
        <w:contextualSpacing/>
        <w:rPr/>
      </w:pPr>
      <w:r>
        <w:rPr>
          <w:b w:val="false"/>
          <w:color w:val="202723"/>
          <w:sz w:val="21"/>
        </w:rPr>
        <w:t>recovery priorities and decision authority;</w:t>
      </w:r>
    </w:p>
    <w:p>
      <w:pPr>
        <w:pStyle w:val="ListBullet"/>
        <w:numPr>
          <w:ilvl w:val="0"/>
          <w:numId w:val="1"/>
        </w:numPr>
        <w:spacing w:lineRule="auto" w:line="276" w:before="0" w:after="80"/>
        <w:ind w:hanging="259" w:start="461"/>
        <w:contextualSpacing/>
        <w:rPr/>
      </w:pPr>
      <w:r>
        <w:rPr>
          <w:b w:val="false"/>
          <w:color w:val="202723"/>
          <w:sz w:val="21"/>
        </w:rPr>
        <w:t>exercise schedule and improvement actions.</w:t>
      </w:r>
      <w:r>
        <w:br w:type="page"/>
      </w:r>
    </w:p>
    <w:p>
      <w:pPr>
        <w:pStyle w:val="Heading2"/>
        <w:keepNext w:val="true"/>
        <w:spacing w:before="0" w:after="120"/>
        <w:rPr/>
      </w:pPr>
      <w:r>
        <w:rPr>
          <w:rFonts w:ascii="Mendl Sans Dusk Medium" w:hAnsi="Mendl Sans Dusk Medium"/>
          <w:b w:val="false"/>
          <w:color w:val="628F79"/>
          <w:sz w:val="26"/>
        </w:rPr>
        <w:t>31. Insurance, bonding, licensing and legal risk</w:t>
      </w:r>
    </w:p>
    <w:p>
      <w:pPr>
        <w:pStyle w:val="Normal"/>
        <w:rPr/>
      </w:pPr>
      <w:r>
        <w:rPr>
          <w:b w:val="false"/>
          <w:color w:val="202723"/>
          <w:sz w:val="21"/>
        </w:rPr>
        <w:t>The company shall maintain an enterprise obligations calendar for insurance renewals, certificates, endorsements, bonds, licenses, registrations, annual reports, taxes, prequalification systems and contract reporting.</w:t>
      </w:r>
    </w:p>
    <w:p>
      <w:pPr>
        <w:pStyle w:val="Normal"/>
        <w:rPr/>
      </w:pPr>
      <w:r>
        <w:rPr>
          <w:b w:val="false"/>
          <w:color w:val="202723"/>
          <w:sz w:val="21"/>
        </w:rPr>
        <w:t>Coverage limits and requirements are reviewed against operations and contracts; the manual should not state fixed limits as universal law. Claims and circumstances that may become claims are reported under policy conditions.</w:t>
      </w:r>
    </w:p>
    <w:p>
      <w:pPr>
        <w:pStyle w:val="Normal"/>
        <w:rPr/>
      </w:pPr>
      <w:r>
        <w:rPr>
          <w:b w:val="false"/>
          <w:color w:val="202723"/>
          <w:sz w:val="21"/>
        </w:rPr>
        <w:t>Lien, bond-claim and notice procedures shall use jurisdiction- and role-specific decision trees approved by counsel. Blanket rules such as “send one notice on every project” are internal controls only if counsel confirms they preserve the intended rights.</w:t>
      </w:r>
      <w:r>
        <w:br w:type="page"/>
      </w:r>
    </w:p>
    <w:p>
      <w:pPr>
        <w:pStyle w:val="Heading2"/>
        <w:keepNext w:val="true"/>
        <w:spacing w:before="0" w:after="120"/>
        <w:rPr/>
      </w:pPr>
      <w:r>
        <w:rPr>
          <w:rFonts w:ascii="Mendl Sans Dusk Medium" w:hAnsi="Mendl Sans Dusk Medium"/>
          <w:b w:val="false"/>
          <w:color w:val="628F79"/>
          <w:sz w:val="26"/>
        </w:rPr>
        <w:t>32. Enterprise risk management</w:t>
      </w:r>
    </w:p>
    <w:p>
      <w:pPr>
        <w:pStyle w:val="Normal"/>
        <w:rPr/>
      </w:pPr>
      <w:r>
        <w:rPr>
          <w:b w:val="false"/>
          <w:color w:val="202723"/>
          <w:sz w:val="21"/>
        </w:rPr>
        <w:t>Leadership maintains a risk register with description, cause, consequence, owner, likelihood, impact, response, due date, status and evidence. Categories include strategic, financial, contractual, operational, safety, quality, people, technology, legal, environmental, supply chain and reputation.</w:t>
      </w:r>
    </w:p>
    <w:p>
      <w:pPr>
        <w:pStyle w:val="Normal"/>
        <w:rPr/>
      </w:pPr>
      <w:r>
        <w:rPr>
          <w:b w:val="false"/>
          <w:color w:val="202723"/>
          <w:sz w:val="21"/>
        </w:rPr>
        <w:t>Top risks are reviewed quarterly and when triggered by major bids, acquisitions, new states, new delivery methods, incidents, claims or material system changes.</w:t>
      </w:r>
      <w:r>
        <w:br w:type="page"/>
      </w:r>
    </w:p>
    <w:p>
      <w:pPr>
        <w:pStyle w:val="Heading1"/>
        <w:keepNext w:val="true"/>
        <w:spacing w:before="0" w:after="160"/>
        <w:rPr/>
      </w:pPr>
      <w:r>
        <w:rPr>
          <w:rFonts w:ascii="Mendl Sans Dusk Bold" w:hAnsi="Mendl Sans Dusk Bold"/>
          <w:b/>
          <w:color w:val="386851"/>
          <w:sz w:val="32"/>
        </w:rPr>
        <w:t>Part VIII - Field Pilot</w:t>
      </w:r>
      <w:r>
        <w:br w:type="page"/>
      </w:r>
    </w:p>
    <w:p>
      <w:pPr>
        <w:pStyle w:val="Heading2"/>
        <w:keepNext w:val="true"/>
        <w:spacing w:before="0" w:after="120"/>
        <w:rPr/>
      </w:pPr>
      <w:r>
        <w:rPr>
          <w:rFonts w:ascii="Mendl Sans Dusk Medium" w:hAnsi="Mendl Sans Dusk Medium"/>
          <w:b w:val="false"/>
          <w:color w:val="628F79"/>
          <w:sz w:val="26"/>
        </w:rPr>
        <w:t>33. Digital field workspace and dashboard</w:t>
      </w:r>
    </w:p>
    <w:p>
      <w:pPr>
        <w:pStyle w:val="Normal"/>
        <w:rPr/>
      </w:pPr>
      <w:r>
        <w:rPr>
          <w:b w:val="false"/>
          <w:color w:val="202723"/>
          <w:sz w:val="21"/>
        </w:rPr>
        <w:t>Field Pilot is the approved, private interface for employees and authorized partners to locate controlled information and complete project work. It is a companion in the BidPilot / BuildPilot product ecosystem and follows the same interaction language. Its home screen is project-first: users select an active job and see only the current manuals, forms, assignments, recent submissions and records relevant to that job and their role.</w:t>
      </w:r>
    </w:p>
    <w:p>
      <w:pPr>
        <w:pStyle w:val="Heading3"/>
        <w:rPr/>
      </w:pPr>
      <w:r>
        <w:rPr>
          <w:rFonts w:ascii="Mendl Sans Dusk Medium" w:hAnsi="Mendl Sans Dusk Medium"/>
          <w:b w:val="false"/>
          <w:color w:val="1E392C"/>
          <w:sz w:val="23"/>
        </w:rPr>
        <w:t>33.1 Required capabilities</w:t>
      </w:r>
    </w:p>
    <w:p>
      <w:pPr>
        <w:pStyle w:val="ListBullet"/>
        <w:numPr>
          <w:ilvl w:val="0"/>
          <w:numId w:val="1"/>
        </w:numPr>
        <w:spacing w:lineRule="auto" w:line="276" w:before="0" w:after="80"/>
        <w:ind w:hanging="259" w:start="461"/>
        <w:contextualSpacing/>
        <w:rPr/>
      </w:pPr>
      <w:r>
        <w:rPr>
          <w:b w:val="false"/>
          <w:color w:val="202723"/>
          <w:sz w:val="21"/>
        </w:rPr>
        <w:t>responsive tablet, phone and desktop experience with large field-usable targets;</w:t>
      </w:r>
    </w:p>
    <w:p>
      <w:pPr>
        <w:pStyle w:val="ListBullet"/>
        <w:numPr>
          <w:ilvl w:val="0"/>
          <w:numId w:val="1"/>
        </w:numPr>
        <w:spacing w:lineRule="auto" w:line="276" w:before="0" w:after="80"/>
        <w:ind w:hanging="259" w:start="461"/>
        <w:contextualSpacing/>
        <w:rPr/>
      </w:pPr>
      <w:r>
        <w:rPr>
          <w:b w:val="false"/>
          <w:color w:val="202723"/>
          <w:sz w:val="21"/>
        </w:rPr>
        <w:t>private authenticated access and role-based authorization;</w:t>
      </w:r>
    </w:p>
    <w:p>
      <w:pPr>
        <w:pStyle w:val="ListBullet"/>
        <w:numPr>
          <w:ilvl w:val="0"/>
          <w:numId w:val="1"/>
        </w:numPr>
        <w:spacing w:lineRule="auto" w:line="276" w:before="0" w:after="80"/>
        <w:ind w:hanging="259" w:start="461"/>
        <w:contextualSpacing/>
        <w:rPr/>
      </w:pPr>
      <w:r>
        <w:rPr>
          <w:b w:val="false"/>
          <w:color w:val="202723"/>
          <w:sz w:val="21"/>
        </w:rPr>
        <w:t>controlled library for the five manuals, procedures, TBTs, forms and current manufacturer SDS files;</w:t>
      </w:r>
    </w:p>
    <w:p>
      <w:pPr>
        <w:pStyle w:val="ListBullet"/>
        <w:numPr>
          <w:ilvl w:val="0"/>
          <w:numId w:val="1"/>
        </w:numPr>
        <w:spacing w:lineRule="auto" w:line="276" w:before="0" w:after="80"/>
        <w:ind w:hanging="259" w:start="461"/>
        <w:contextualSpacing/>
        <w:rPr/>
      </w:pPr>
      <w:r>
        <w:rPr>
          <w:b w:val="false"/>
          <w:color w:val="202723"/>
          <w:sz w:val="21"/>
        </w:rPr>
        <w:t>project workspaces where authorized users attach approved forms and documents to a specific job;</w:t>
      </w:r>
    </w:p>
    <w:p>
      <w:pPr>
        <w:pStyle w:val="ListBullet"/>
        <w:numPr>
          <w:ilvl w:val="0"/>
          <w:numId w:val="1"/>
        </w:numPr>
        <w:spacing w:lineRule="auto" w:line="276" w:before="0" w:after="80"/>
        <w:ind w:hanging="259" w:start="461"/>
        <w:contextualSpacing/>
        <w:rPr/>
      </w:pPr>
      <w:r>
        <w:rPr>
          <w:b w:val="false"/>
          <w:color w:val="202723"/>
          <w:sz w:val="21"/>
        </w:rPr>
        <w:t>electronic field-form completion, attestation, time stamp, version and project association;</w:t>
      </w:r>
    </w:p>
    <w:p>
      <w:pPr>
        <w:pStyle w:val="ListBullet"/>
        <w:numPr>
          <w:ilvl w:val="0"/>
          <w:numId w:val="1"/>
        </w:numPr>
        <w:spacing w:lineRule="auto" w:line="276" w:before="0" w:after="80"/>
        <w:ind w:hanging="259" w:start="461"/>
        <w:contextualSpacing/>
        <w:rPr/>
      </w:pPr>
      <w:r>
        <w:rPr>
          <w:b w:val="false"/>
          <w:color w:val="202723"/>
          <w:sz w:val="21"/>
        </w:rPr>
        <w:t>search by title, ID, topic, chemical, trade, task and project;</w:t>
      </w:r>
    </w:p>
    <w:p>
      <w:pPr>
        <w:pStyle w:val="ListBullet"/>
        <w:numPr>
          <w:ilvl w:val="0"/>
          <w:numId w:val="1"/>
        </w:numPr>
        <w:spacing w:lineRule="auto" w:line="276" w:before="0" w:after="80"/>
        <w:ind w:hanging="259" w:start="461"/>
        <w:contextualSpacing/>
        <w:rPr/>
      </w:pPr>
      <w:r>
        <w:rPr>
          <w:b w:val="false"/>
          <w:color w:val="202723"/>
          <w:sz w:val="21"/>
        </w:rPr>
        <w:t>online/offline synchronization strategy with visible sync status and conflict handling;</w:t>
      </w:r>
    </w:p>
    <w:p>
      <w:pPr>
        <w:pStyle w:val="ListBullet"/>
        <w:numPr>
          <w:ilvl w:val="0"/>
          <w:numId w:val="1"/>
        </w:numPr>
        <w:spacing w:lineRule="auto" w:line="276" w:before="0" w:after="80"/>
        <w:ind w:hanging="259" w:start="461"/>
        <w:contextualSpacing/>
        <w:rPr/>
      </w:pPr>
      <w:r>
        <w:rPr>
          <w:b w:val="false"/>
          <w:color w:val="202723"/>
          <w:sz w:val="21"/>
        </w:rPr>
        <w:t>immutable audit evidence for permission, version, attachment, submission, download and print events;</w:t>
      </w:r>
    </w:p>
    <w:p>
      <w:pPr>
        <w:pStyle w:val="ListBullet"/>
        <w:numPr>
          <w:ilvl w:val="0"/>
          <w:numId w:val="1"/>
        </w:numPr>
        <w:spacing w:lineRule="auto" w:line="276" w:before="0" w:after="80"/>
        <w:ind w:hanging="259" w:start="461"/>
        <w:contextualSpacing/>
        <w:rPr/>
      </w:pPr>
      <w:r>
        <w:rPr>
          <w:b w:val="false"/>
          <w:color w:val="202723"/>
          <w:sz w:val="21"/>
        </w:rPr>
        <w:t>server-side storage for metadata and object storage for controlled files and evidence.</w:t>
      </w:r>
    </w:p>
    <w:p>
      <w:pPr>
        <w:pStyle w:val="Heading3"/>
        <w:rPr/>
      </w:pPr>
      <w:r>
        <w:rPr>
          <w:rFonts w:ascii="Mendl Sans Dusk Medium" w:hAnsi="Mendl Sans Dusk Medium"/>
          <w:b w:val="false"/>
          <w:color w:val="1E392C"/>
          <w:sz w:val="23"/>
        </w:rPr>
        <w:t>33.2 Print and download control</w:t>
      </w:r>
    </w:p>
    <w:p>
      <w:pPr>
        <w:pStyle w:val="Normal"/>
        <w:rPr/>
      </w:pPr>
      <w:r>
        <w:rPr>
          <w:b w:val="false"/>
          <w:color w:val="202723"/>
          <w:sz w:val="21"/>
        </w:rPr>
        <w:t>Print/No Print is an administrative permission, not a visual preference. Only an in-house user assigned the Admin role may grant, remove or override it. Rules may be company-wide or limited by role, project and resource. The server must recheck authorization at the moment a print-ready file is requested; hiding a browser button is not sufficient. Every permission change and denied print attempt must record the actor, resource, scope, decision and time.</w:t>
      </w:r>
    </w:p>
    <w:p>
      <w:pPr>
        <w:pStyle w:val="Normal"/>
        <w:rPr/>
      </w:pPr>
      <w:r>
        <w:rPr>
          <w:b w:val="false"/>
          <w:color w:val="202723"/>
          <w:sz w:val="21"/>
        </w:rPr>
        <w:t>A No Print setting reduces uncontrolled paper but cannot guarantee prevention after a person can view information. Sensitive documents should use least-privilege access, watermarked views, short-lived file links, disabled bulk export and monitoring in addition to the print rule.</w:t>
      </w:r>
    </w:p>
    <w:p>
      <w:pPr>
        <w:pStyle w:val="Heading3"/>
        <w:rPr/>
      </w:pPr>
      <w:r>
        <w:rPr>
          <w:rFonts w:ascii="Mendl Sans Dusk Medium" w:hAnsi="Mendl Sans Dusk Medium"/>
          <w:b w:val="false"/>
          <w:color w:val="1E392C"/>
          <w:sz w:val="23"/>
        </w:rPr>
        <w:t>33.3 Project attachment and record model</w:t>
      </w:r>
    </w:p>
    <w:p>
      <w:pPr>
        <w:pStyle w:val="Normal"/>
        <w:rPr/>
      </w:pPr>
      <w:r>
        <w:rPr>
          <w:b w:val="false"/>
          <w:color w:val="202723"/>
          <w:sz w:val="21"/>
        </w:rPr>
        <w:t>An approved resource remains a single controlled master. Attaching it to a project creates a governed relationship containing the project, resource ID and version, required/optional status, assigner, date and applicable role. A submitted form creates a separate immutable project record; it never overwrites the master template. Superseded templates remain available to auditors but are removed from normal field selection.</w:t>
      </w:r>
    </w:p>
    <w:p>
      <w:pPr>
        <w:pStyle w:val="Heading3"/>
        <w:rPr/>
      </w:pPr>
      <w:r>
        <w:rPr>
          <w:rFonts w:ascii="Mendl Sans Dusk Medium" w:hAnsi="Mendl Sans Dusk Medium"/>
          <w:b w:val="false"/>
          <w:color w:val="1E392C"/>
          <w:sz w:val="23"/>
        </w:rPr>
        <w:t>33.4 Administration and release</w:t>
      </w:r>
    </w:p>
    <w:p>
      <w:pPr>
        <w:pStyle w:val="Normal"/>
        <w:rPr/>
      </w:pPr>
      <w:r>
        <w:rPr>
          <w:b w:val="false"/>
          <w:color w:val="202723"/>
          <w:sz w:val="21"/>
        </w:rPr>
        <w:t>The Admin Console controls user roles, project membership, resource status, project attachments and Print/No Print policy. Content changes still pass through owner, technical reviewer and approver workflow before publication. Initial deployment should be a limited pilot with representative office and field users, followed by security review, offline testing, retention validation and measured adoption before company-wide release.</w:t>
      </w:r>
      <w:r>
        <w:br w:type="page"/>
      </w:r>
    </w:p>
    <w:p>
      <w:pPr>
        <w:pStyle w:val="Heading1"/>
        <w:keepNext w:val="true"/>
        <w:spacing w:before="0" w:after="160"/>
        <w:rPr/>
      </w:pPr>
      <w:r>
        <w:rPr>
          <w:rFonts w:ascii="Mendl Sans Dusk Bold" w:hAnsi="Mendl Sans Dusk Bold"/>
          <w:b/>
          <w:color w:val="386851"/>
          <w:sz w:val="32"/>
        </w:rPr>
        <w:t>Part IX - Records, assurance and improvement</w:t>
      </w:r>
      <w:r>
        <w:br w:type="page"/>
      </w:r>
    </w:p>
    <w:p>
      <w:pPr>
        <w:pStyle w:val="Heading2"/>
        <w:keepNext w:val="true"/>
        <w:spacing w:before="0" w:after="120"/>
        <w:rPr/>
      </w:pPr>
      <w:r>
        <w:rPr>
          <w:rFonts w:ascii="Mendl Sans Dusk Medium" w:hAnsi="Mendl Sans Dusk Medium"/>
          <w:b w:val="false"/>
          <w:color w:val="628F79"/>
          <w:sz w:val="26"/>
        </w:rPr>
        <w:t>34. Document control</w:t>
      </w:r>
    </w:p>
    <w:p>
      <w:pPr>
        <w:pStyle w:val="Heading3"/>
        <w:rPr/>
      </w:pPr>
      <w:r>
        <w:rPr>
          <w:rFonts w:ascii="Mendl Sans Dusk Medium" w:hAnsi="Mendl Sans Dusk Medium"/>
          <w:b w:val="false"/>
          <w:color w:val="1E392C"/>
          <w:sz w:val="23"/>
        </w:rPr>
        <w:t>34.1 Required metadata</w:t>
      </w:r>
    </w:p>
    <w:p>
      <w:pPr>
        <w:pStyle w:val="Normal"/>
        <w:rPr/>
      </w:pPr>
      <w:r>
        <w:rPr>
          <w:b w:val="false"/>
          <w:color w:val="202723"/>
          <w:sz w:val="21"/>
        </w:rPr>
        <w:t>Every controlled document shall show:</w:t>
      </w:r>
    </w:p>
    <w:p>
      <w:pPr>
        <w:pStyle w:val="ListBullet"/>
        <w:numPr>
          <w:ilvl w:val="0"/>
          <w:numId w:val="1"/>
        </w:numPr>
        <w:spacing w:lineRule="auto" w:line="276" w:before="0" w:after="80"/>
        <w:ind w:hanging="259" w:start="461"/>
        <w:contextualSpacing/>
        <w:rPr/>
      </w:pPr>
      <w:r>
        <w:rPr>
          <w:b w:val="false"/>
          <w:color w:val="202723"/>
          <w:sz w:val="21"/>
        </w:rPr>
        <w:t>document ID and title;</w:t>
      </w:r>
    </w:p>
    <w:p>
      <w:pPr>
        <w:pStyle w:val="ListBullet"/>
        <w:numPr>
          <w:ilvl w:val="0"/>
          <w:numId w:val="1"/>
        </w:numPr>
        <w:spacing w:lineRule="auto" w:line="276" w:before="0" w:after="80"/>
        <w:ind w:hanging="259" w:start="461"/>
        <w:contextualSpacing/>
        <w:rPr/>
      </w:pPr>
      <w:r>
        <w:rPr>
          <w:b w:val="false"/>
          <w:color w:val="202723"/>
          <w:sz w:val="21"/>
        </w:rPr>
        <w:t>owner and approver;</w:t>
      </w:r>
    </w:p>
    <w:p>
      <w:pPr>
        <w:pStyle w:val="ListBullet"/>
        <w:numPr>
          <w:ilvl w:val="0"/>
          <w:numId w:val="1"/>
        </w:numPr>
        <w:spacing w:lineRule="auto" w:line="276" w:before="0" w:after="80"/>
        <w:ind w:hanging="259" w:start="461"/>
        <w:contextualSpacing/>
        <w:rPr/>
      </w:pPr>
      <w:r>
        <w:rPr>
          <w:b w:val="false"/>
          <w:color w:val="202723"/>
          <w:sz w:val="21"/>
        </w:rPr>
        <w:t>version and effective date;</w:t>
      </w:r>
    </w:p>
    <w:p>
      <w:pPr>
        <w:pStyle w:val="ListBullet"/>
        <w:numPr>
          <w:ilvl w:val="0"/>
          <w:numId w:val="1"/>
        </w:numPr>
        <w:spacing w:lineRule="auto" w:line="276" w:before="0" w:after="80"/>
        <w:ind w:hanging="259" w:start="461"/>
        <w:contextualSpacing/>
        <w:rPr/>
      </w:pPr>
      <w:r>
        <w:rPr>
          <w:b w:val="false"/>
          <w:color w:val="202723"/>
          <w:sz w:val="21"/>
        </w:rPr>
        <w:t>status;</w:t>
      </w:r>
    </w:p>
    <w:p>
      <w:pPr>
        <w:pStyle w:val="ListBullet"/>
        <w:numPr>
          <w:ilvl w:val="0"/>
          <w:numId w:val="1"/>
        </w:numPr>
        <w:spacing w:lineRule="auto" w:line="276" w:before="0" w:after="80"/>
        <w:ind w:hanging="259" w:start="461"/>
        <w:contextualSpacing/>
        <w:rPr/>
      </w:pPr>
      <w:r>
        <w:rPr>
          <w:b w:val="false"/>
          <w:color w:val="202723"/>
          <w:sz w:val="21"/>
        </w:rPr>
        <w:t>applicable audience/jurisdiction;</w:t>
      </w:r>
    </w:p>
    <w:p>
      <w:pPr>
        <w:pStyle w:val="ListBullet"/>
        <w:numPr>
          <w:ilvl w:val="0"/>
          <w:numId w:val="1"/>
        </w:numPr>
        <w:spacing w:lineRule="auto" w:line="276" w:before="0" w:after="80"/>
        <w:ind w:hanging="259" w:start="461"/>
        <w:contextualSpacing/>
        <w:rPr/>
      </w:pPr>
      <w:r>
        <w:rPr>
          <w:b w:val="false"/>
          <w:color w:val="202723"/>
          <w:sz w:val="21"/>
        </w:rPr>
        <w:t>next review date;</w:t>
      </w:r>
    </w:p>
    <w:p>
      <w:pPr>
        <w:pStyle w:val="ListBullet"/>
        <w:numPr>
          <w:ilvl w:val="0"/>
          <w:numId w:val="1"/>
        </w:numPr>
        <w:spacing w:lineRule="auto" w:line="276" w:before="0" w:after="80"/>
        <w:ind w:hanging="259" w:start="461"/>
        <w:contextualSpacing/>
        <w:rPr/>
      </w:pPr>
      <w:r>
        <w:rPr>
          <w:b w:val="false"/>
          <w:color w:val="202723"/>
          <w:sz w:val="21"/>
        </w:rPr>
        <w:t>revision summary;</w:t>
      </w:r>
    </w:p>
    <w:p>
      <w:pPr>
        <w:pStyle w:val="ListBullet"/>
        <w:numPr>
          <w:ilvl w:val="0"/>
          <w:numId w:val="1"/>
        </w:numPr>
        <w:spacing w:lineRule="auto" w:line="276" w:before="0" w:after="80"/>
        <w:ind w:hanging="259" w:start="461"/>
        <w:contextualSpacing/>
        <w:rPr/>
      </w:pPr>
      <w:r>
        <w:rPr>
          <w:b w:val="false"/>
          <w:color w:val="202723"/>
          <w:sz w:val="21"/>
        </w:rPr>
        <w:t>superseded reference;</w:t>
      </w:r>
    </w:p>
    <w:p>
      <w:pPr>
        <w:pStyle w:val="ListBullet"/>
        <w:numPr>
          <w:ilvl w:val="0"/>
          <w:numId w:val="1"/>
        </w:numPr>
        <w:spacing w:lineRule="auto" w:line="276" w:before="0" w:after="80"/>
        <w:ind w:hanging="259" w:start="461"/>
        <w:contextualSpacing/>
        <w:rPr/>
      </w:pPr>
      <w:r>
        <w:rPr>
          <w:b w:val="false"/>
          <w:color w:val="202723"/>
          <w:sz w:val="21"/>
        </w:rPr>
        <w:t>source location.</w:t>
      </w:r>
    </w:p>
    <w:p>
      <w:pPr>
        <w:pStyle w:val="Heading3"/>
        <w:rPr/>
      </w:pPr>
      <w:r>
        <w:rPr>
          <w:rFonts w:ascii="Mendl Sans Dusk Medium" w:hAnsi="Mendl Sans Dusk Medium"/>
          <w:b w:val="false"/>
          <w:color w:val="1E392C"/>
          <w:sz w:val="23"/>
        </w:rPr>
        <w:t>34.2 Status model</w:t>
      </w:r>
    </w:p>
    <w:p>
      <w:pPr>
        <w:pStyle w:val="ListBullet"/>
        <w:numPr>
          <w:ilvl w:val="0"/>
          <w:numId w:val="1"/>
        </w:numPr>
        <w:spacing w:lineRule="auto" w:line="276" w:before="0" w:after="80"/>
        <w:ind w:hanging="259" w:start="461"/>
        <w:contextualSpacing/>
        <w:rPr/>
      </w:pPr>
      <w:r>
        <w:rPr>
          <w:rFonts w:ascii="Mendl Sans Dusk Bold" w:hAnsi="Mendl Sans Dusk Bold"/>
          <w:b/>
          <w:color w:val="202723"/>
          <w:sz w:val="21"/>
        </w:rPr>
        <w:t>Draft:</w:t>
      </w:r>
      <w:r>
        <w:rPr>
          <w:b w:val="false"/>
          <w:color w:val="202723"/>
          <w:sz w:val="21"/>
        </w:rPr>
        <w:t xml:space="preserve"> Work in progress; not for use as instruction.</w:t>
      </w:r>
    </w:p>
    <w:p>
      <w:pPr>
        <w:pStyle w:val="ListBullet"/>
        <w:numPr>
          <w:ilvl w:val="0"/>
          <w:numId w:val="1"/>
        </w:numPr>
        <w:spacing w:lineRule="auto" w:line="276" w:before="0" w:after="80"/>
        <w:ind w:hanging="259" w:start="461"/>
        <w:contextualSpacing/>
        <w:rPr/>
      </w:pPr>
      <w:r>
        <w:rPr>
          <w:rFonts w:ascii="Mendl Sans Dusk Bold" w:hAnsi="Mendl Sans Dusk Bold"/>
          <w:b/>
          <w:color w:val="202723"/>
          <w:sz w:val="21"/>
        </w:rPr>
        <w:t>Under Review:</w:t>
      </w:r>
      <w:r>
        <w:rPr>
          <w:b w:val="false"/>
          <w:color w:val="202723"/>
          <w:sz w:val="21"/>
        </w:rPr>
        <w:t xml:space="preserve"> Circulating for approval; not for field use unless specifically authorized.</w:t>
      </w:r>
    </w:p>
    <w:p>
      <w:pPr>
        <w:pStyle w:val="ListBullet"/>
        <w:numPr>
          <w:ilvl w:val="0"/>
          <w:numId w:val="1"/>
        </w:numPr>
        <w:spacing w:lineRule="auto" w:line="276" w:before="0" w:after="80"/>
        <w:ind w:hanging="259" w:start="461"/>
        <w:contextualSpacing/>
        <w:rPr/>
      </w:pPr>
      <w:r>
        <w:rPr>
          <w:rFonts w:ascii="Mendl Sans Dusk Bold" w:hAnsi="Mendl Sans Dusk Bold"/>
          <w:b/>
          <w:color w:val="202723"/>
          <w:sz w:val="21"/>
        </w:rPr>
        <w:t>Approved:</w:t>
      </w:r>
      <w:r>
        <w:rPr>
          <w:b w:val="false"/>
          <w:color w:val="202723"/>
          <w:sz w:val="21"/>
        </w:rPr>
        <w:t xml:space="preserve"> Current controlled version.</w:t>
      </w:r>
    </w:p>
    <w:p>
      <w:pPr>
        <w:pStyle w:val="ListBullet"/>
        <w:numPr>
          <w:ilvl w:val="0"/>
          <w:numId w:val="1"/>
        </w:numPr>
        <w:spacing w:lineRule="auto" w:line="276" w:before="0" w:after="80"/>
        <w:ind w:hanging="259" w:start="461"/>
        <w:contextualSpacing/>
        <w:rPr/>
      </w:pPr>
      <w:r>
        <w:rPr>
          <w:rFonts w:ascii="Mendl Sans Dusk Bold" w:hAnsi="Mendl Sans Dusk Bold"/>
          <w:b/>
          <w:color w:val="202723"/>
          <w:sz w:val="21"/>
        </w:rPr>
        <w:t>Superseded:</w:t>
      </w:r>
      <w:r>
        <w:rPr>
          <w:b w:val="false"/>
          <w:color w:val="202723"/>
          <w:sz w:val="21"/>
        </w:rPr>
        <w:t xml:space="preserve"> Replaced and removed from points of use.</w:t>
      </w:r>
    </w:p>
    <w:p>
      <w:pPr>
        <w:pStyle w:val="ListBullet"/>
        <w:numPr>
          <w:ilvl w:val="0"/>
          <w:numId w:val="1"/>
        </w:numPr>
        <w:spacing w:lineRule="auto" w:line="276" w:before="0" w:after="80"/>
        <w:ind w:hanging="259" w:start="461"/>
        <w:contextualSpacing/>
        <w:rPr/>
      </w:pPr>
      <w:r>
        <w:rPr>
          <w:rFonts w:ascii="Mendl Sans Dusk Bold" w:hAnsi="Mendl Sans Dusk Bold"/>
          <w:b/>
          <w:color w:val="202723"/>
          <w:sz w:val="21"/>
        </w:rPr>
        <w:t>Archived:</w:t>
      </w:r>
      <w:r>
        <w:rPr>
          <w:b w:val="false"/>
          <w:color w:val="202723"/>
          <w:sz w:val="21"/>
        </w:rPr>
        <w:t xml:space="preserve"> Retained as history or record; not active.</w:t>
      </w:r>
    </w:p>
    <w:p>
      <w:pPr>
        <w:pStyle w:val="Heading3"/>
        <w:rPr/>
      </w:pPr>
      <w:r>
        <w:rPr>
          <w:rFonts w:ascii="Mendl Sans Dusk Medium" w:hAnsi="Mendl Sans Dusk Medium"/>
          <w:b w:val="false"/>
          <w:color w:val="1E392C"/>
          <w:sz w:val="23"/>
        </w:rPr>
        <w:t>34.3 Revision workflow</w:t>
      </w:r>
    </w:p>
    <w:p>
      <w:pPr>
        <w:pStyle w:val="ListNumber"/>
        <w:numPr>
          <w:ilvl w:val="0"/>
          <w:numId w:val="4"/>
        </w:numPr>
        <w:spacing w:lineRule="auto" w:line="276" w:before="0" w:after="80"/>
        <w:ind w:hanging="259" w:start="461"/>
        <w:contextualSpacing/>
        <w:rPr/>
      </w:pPr>
      <w:r>
        <w:rPr>
          <w:b w:val="false"/>
          <w:color w:val="202723"/>
          <w:sz w:val="21"/>
        </w:rPr>
        <w:t>Change request logged with reason and owner.</w:t>
      </w:r>
    </w:p>
    <w:p>
      <w:pPr>
        <w:pStyle w:val="ListNumber"/>
        <w:numPr>
          <w:ilvl w:val="0"/>
          <w:numId w:val="4"/>
        </w:numPr>
        <w:spacing w:lineRule="auto" w:line="276" w:before="0" w:after="80"/>
        <w:ind w:hanging="259" w:start="461"/>
        <w:contextualSpacing/>
        <w:rPr/>
      </w:pPr>
      <w:r>
        <w:rPr>
          <w:b w:val="false"/>
          <w:color w:val="202723"/>
          <w:sz w:val="21"/>
        </w:rPr>
        <w:t>Impact review covers linked procedures, forms, training, systems, contracts and jurisdictions.</w:t>
      </w:r>
    </w:p>
    <w:p>
      <w:pPr>
        <w:pStyle w:val="ListNumber"/>
        <w:numPr>
          <w:ilvl w:val="0"/>
          <w:numId w:val="4"/>
        </w:numPr>
        <w:spacing w:lineRule="auto" w:line="276" w:before="0" w:after="80"/>
        <w:ind w:hanging="259" w:start="461"/>
        <w:contextualSpacing/>
        <w:rPr/>
      </w:pPr>
      <w:r>
        <w:rPr>
          <w:b w:val="false"/>
          <w:color w:val="202723"/>
          <w:sz w:val="21"/>
        </w:rPr>
        <w:t>Technical, legal, HR, safety or IT review occurs as applicable.</w:t>
      </w:r>
    </w:p>
    <w:p>
      <w:pPr>
        <w:pStyle w:val="ListNumber"/>
        <w:numPr>
          <w:ilvl w:val="0"/>
          <w:numId w:val="4"/>
        </w:numPr>
        <w:spacing w:lineRule="auto" w:line="276" w:before="0" w:after="80"/>
        <w:ind w:hanging="259" w:start="461"/>
        <w:contextualSpacing/>
        <w:rPr/>
      </w:pPr>
      <w:r>
        <w:rPr>
          <w:b w:val="false"/>
          <w:color w:val="202723"/>
          <w:sz w:val="21"/>
        </w:rPr>
        <w:t>Authorized approval is recorded.</w:t>
      </w:r>
    </w:p>
    <w:p>
      <w:pPr>
        <w:pStyle w:val="ListNumber"/>
        <w:numPr>
          <w:ilvl w:val="0"/>
          <w:numId w:val="4"/>
        </w:numPr>
        <w:spacing w:lineRule="auto" w:line="276" w:before="0" w:after="80"/>
        <w:ind w:hanging="259" w:start="461"/>
        <w:contextualSpacing/>
        <w:rPr/>
      </w:pPr>
      <w:r>
        <w:rPr>
          <w:b w:val="false"/>
          <w:color w:val="202723"/>
          <w:sz w:val="21"/>
        </w:rPr>
        <w:t>Version, effective date and revision summary are updated.</w:t>
      </w:r>
    </w:p>
    <w:p>
      <w:pPr>
        <w:pStyle w:val="ListNumber"/>
        <w:numPr>
          <w:ilvl w:val="0"/>
          <w:numId w:val="4"/>
        </w:numPr>
        <w:spacing w:lineRule="auto" w:line="276" w:before="0" w:after="80"/>
        <w:ind w:hanging="259" w:start="461"/>
        <w:contextualSpacing/>
        <w:rPr/>
      </w:pPr>
      <w:r>
        <w:rPr>
          <w:b w:val="false"/>
          <w:color w:val="202723"/>
          <w:sz w:val="21"/>
        </w:rPr>
        <w:t>Approved source is published and obsolete copies removed.</w:t>
      </w:r>
    </w:p>
    <w:p>
      <w:pPr>
        <w:pStyle w:val="ListNumber"/>
        <w:numPr>
          <w:ilvl w:val="0"/>
          <w:numId w:val="4"/>
        </w:numPr>
        <w:spacing w:lineRule="auto" w:line="276" w:before="0" w:after="80"/>
        <w:ind w:hanging="259" w:start="461"/>
        <w:contextualSpacing/>
        <w:rPr/>
      </w:pPr>
      <w:r>
        <w:rPr>
          <w:b w:val="false"/>
          <w:color w:val="202723"/>
          <w:sz w:val="21"/>
        </w:rPr>
        <w:t>Affected users are trained or notified.</w:t>
      </w:r>
    </w:p>
    <w:p>
      <w:pPr>
        <w:pStyle w:val="ListNumber"/>
        <w:numPr>
          <w:ilvl w:val="0"/>
          <w:numId w:val="4"/>
        </w:numPr>
        <w:spacing w:lineRule="auto" w:line="276" w:before="0" w:after="80"/>
        <w:ind w:hanging="259" w:start="461"/>
        <w:contextualSpacing/>
        <w:rPr/>
      </w:pPr>
      <w:r>
        <w:rPr>
          <w:b w:val="false"/>
          <w:color w:val="202723"/>
          <w:sz w:val="21"/>
        </w:rPr>
        <w:t>Implementation is verified.</w:t>
      </w:r>
    </w:p>
    <w:p>
      <w:pPr>
        <w:pStyle w:val="Normal"/>
        <w:rPr/>
      </w:pPr>
      <w:r>
        <w:rPr>
          <w:b w:val="false"/>
          <w:color w:val="202723"/>
          <w:sz w:val="21"/>
        </w:rPr>
        <w:t>Filename changes alone do not constitute revision control.</w:t>
      </w:r>
      <w:r>
        <w:br w:type="page"/>
      </w:r>
    </w:p>
    <w:p>
      <w:pPr>
        <w:pStyle w:val="Heading2"/>
        <w:keepNext w:val="true"/>
        <w:spacing w:before="0" w:after="120"/>
        <w:rPr/>
      </w:pPr>
      <w:r>
        <w:rPr>
          <w:rFonts w:ascii="Mendl Sans Dusk Medium" w:hAnsi="Mendl Sans Dusk Medium"/>
          <w:b w:val="false"/>
          <w:color w:val="628F79"/>
          <w:sz w:val="26"/>
        </w:rPr>
        <w:t>35. Records and retention</w:t>
      </w:r>
    </w:p>
    <w:p>
      <w:pPr>
        <w:pStyle w:val="Normal"/>
        <w:rPr/>
      </w:pPr>
      <w:r>
        <w:rPr>
          <w:b w:val="false"/>
          <w:color w:val="202723"/>
          <w:sz w:val="21"/>
        </w:rPr>
        <w:t>Records shall be complete, legible, attributable, timely and protected. The retention schedule shall be approved by business, legal, HR, safety, finance and IT owners and account for law, contracts, statutes of limitation, claims, tax, insurance and business need.</w:t>
      </w:r>
    </w:p>
    <w:p>
      <w:pPr>
        <w:pStyle w:val="Normal"/>
        <w:rPr/>
      </w:pPr>
      <w:r>
        <w:rPr>
          <w:b w:val="false"/>
          <w:color w:val="202723"/>
          <w:sz w:val="21"/>
        </w:rPr>
        <w:t>Legal hold suspends normal deletion. Disposal is authorized, documented and secure. Employee medical and exposure records, payroll, safety, project and corporate records may have different requirements and shall not be assigned one universal retention period without review.</w:t>
      </w:r>
      <w:r>
        <w:br w:type="page"/>
      </w:r>
    </w:p>
    <w:p>
      <w:pPr>
        <w:pStyle w:val="Heading2"/>
        <w:keepNext w:val="true"/>
        <w:spacing w:before="0" w:after="120"/>
        <w:rPr/>
      </w:pPr>
      <w:r>
        <w:rPr>
          <w:rFonts w:ascii="Mendl Sans Dusk Medium" w:hAnsi="Mendl Sans Dusk Medium"/>
          <w:b w:val="false"/>
          <w:color w:val="628F79"/>
          <w:sz w:val="26"/>
        </w:rPr>
        <w:t>36. Audit, corrective action and management review</w:t>
      </w:r>
    </w:p>
    <w:p>
      <w:pPr>
        <w:pStyle w:val="Normal"/>
        <w:rPr/>
      </w:pPr>
      <w:r>
        <w:rPr>
          <w:b w:val="false"/>
          <w:color w:val="202723"/>
          <w:sz w:val="21"/>
        </w:rPr>
        <w:t>Internal audits test both document conformity and real execution. Audit evidence is sampled from systems and field records. Findings are classified by risk and assigned an owner and due date.</w:t>
      </w:r>
    </w:p>
    <w:p>
      <w:pPr>
        <w:pStyle w:val="Normal"/>
        <w:rPr/>
      </w:pPr>
      <w:r>
        <w:rPr>
          <w:b w:val="false"/>
          <w:color w:val="202723"/>
          <w:sz w:val="21"/>
        </w:rPr>
        <w:t>Corrective actions require:</w:t>
      </w:r>
    </w:p>
    <w:p>
      <w:pPr>
        <w:pStyle w:val="ListBullet"/>
        <w:numPr>
          <w:ilvl w:val="0"/>
          <w:numId w:val="1"/>
        </w:numPr>
        <w:spacing w:lineRule="auto" w:line="276" w:before="0" w:after="80"/>
        <w:ind w:hanging="259" w:start="461"/>
        <w:contextualSpacing/>
        <w:rPr/>
      </w:pPr>
      <w:r>
        <w:rPr>
          <w:b w:val="false"/>
          <w:color w:val="202723"/>
          <w:sz w:val="21"/>
        </w:rPr>
        <w:t>clear problem statement and containment;</w:t>
      </w:r>
    </w:p>
    <w:p>
      <w:pPr>
        <w:pStyle w:val="ListBullet"/>
        <w:numPr>
          <w:ilvl w:val="0"/>
          <w:numId w:val="1"/>
        </w:numPr>
        <w:spacing w:lineRule="auto" w:line="276" w:before="0" w:after="80"/>
        <w:ind w:hanging="259" w:start="461"/>
        <w:contextualSpacing/>
        <w:rPr/>
      </w:pPr>
      <w:r>
        <w:rPr>
          <w:b w:val="false"/>
          <w:color w:val="202723"/>
          <w:sz w:val="21"/>
        </w:rPr>
        <w:t>cause analysis proportionate to severity;</w:t>
      </w:r>
    </w:p>
    <w:p>
      <w:pPr>
        <w:pStyle w:val="ListBullet"/>
        <w:numPr>
          <w:ilvl w:val="0"/>
          <w:numId w:val="1"/>
        </w:numPr>
        <w:spacing w:lineRule="auto" w:line="276" w:before="0" w:after="80"/>
        <w:ind w:hanging="259" w:start="461"/>
        <w:contextualSpacing/>
        <w:rPr/>
      </w:pPr>
      <w:r>
        <w:rPr>
          <w:b w:val="false"/>
          <w:color w:val="202723"/>
          <w:sz w:val="21"/>
        </w:rPr>
        <w:t>corrective action and responsible owner;</w:t>
      </w:r>
    </w:p>
    <w:p>
      <w:pPr>
        <w:pStyle w:val="ListBullet"/>
        <w:numPr>
          <w:ilvl w:val="0"/>
          <w:numId w:val="1"/>
        </w:numPr>
        <w:spacing w:lineRule="auto" w:line="276" w:before="0" w:after="80"/>
        <w:ind w:hanging="259" w:start="461"/>
        <w:contextualSpacing/>
        <w:rPr/>
      </w:pPr>
      <w:r>
        <w:rPr>
          <w:b w:val="false"/>
          <w:color w:val="202723"/>
          <w:sz w:val="21"/>
        </w:rPr>
        <w:t>completion evidence;</w:t>
      </w:r>
    </w:p>
    <w:p>
      <w:pPr>
        <w:pStyle w:val="ListBullet"/>
        <w:numPr>
          <w:ilvl w:val="0"/>
          <w:numId w:val="1"/>
        </w:numPr>
        <w:spacing w:lineRule="auto" w:line="276" w:before="0" w:after="80"/>
        <w:ind w:hanging="259" w:start="461"/>
        <w:contextualSpacing/>
        <w:rPr/>
      </w:pPr>
      <w:r>
        <w:rPr>
          <w:b w:val="false"/>
          <w:color w:val="202723"/>
          <w:sz w:val="21"/>
        </w:rPr>
        <w:t>effectiveness verification;</w:t>
      </w:r>
    </w:p>
    <w:p>
      <w:pPr>
        <w:pStyle w:val="ListBullet"/>
        <w:numPr>
          <w:ilvl w:val="0"/>
          <w:numId w:val="1"/>
        </w:numPr>
        <w:spacing w:lineRule="auto" w:line="276" w:before="0" w:after="80"/>
        <w:ind w:hanging="259" w:start="461"/>
        <w:contextualSpacing/>
        <w:rPr/>
      </w:pPr>
      <w:r>
        <w:rPr>
          <w:b w:val="false"/>
          <w:color w:val="202723"/>
          <w:sz w:val="21"/>
        </w:rPr>
        <w:t>systemic update when other projects/processes are exposed.</w:t>
      </w:r>
    </w:p>
    <w:p>
      <w:pPr>
        <w:pStyle w:val="Normal"/>
        <w:rPr/>
      </w:pPr>
      <w:r>
        <w:rPr>
          <w:b w:val="false"/>
          <w:color w:val="202723"/>
          <w:sz w:val="21"/>
        </w:rPr>
        <w:t>Annual management review considers audit results, objectives, incidents, claims, client feedback, project outcomes, financial trends, workforce, technology, regulatory change, resources and improvement priorities.</w:t>
      </w:r>
      <w:r>
        <w:br w:type="page"/>
      </w:r>
    </w:p>
    <w:p>
      <w:pPr>
        <w:pStyle w:val="Heading2"/>
        <w:keepNext w:val="true"/>
        <w:spacing w:before="0" w:after="120"/>
        <w:rPr/>
      </w:pPr>
      <w:r>
        <w:rPr>
          <w:rFonts w:ascii="Mendl Sans Dusk Medium" w:hAnsi="Mendl Sans Dusk Medium"/>
          <w:b w:val="false"/>
          <w:color w:val="628F79"/>
          <w:sz w:val="26"/>
        </w:rPr>
        <w:t>37. Key performance indicators</w:t>
      </w:r>
    </w:p>
    <w:p>
      <w:pPr>
        <w:pStyle w:val="Normal"/>
        <w:rPr/>
      </w:pPr>
      <w:r>
        <w:rPr>
          <w:b w:val="false"/>
          <w:color w:val="202723"/>
          <w:sz w:val="21"/>
        </w:rPr>
        <w:t>KPIs support decisions; they are not substitutes for judgment. Definitions, source systems, frequency and owners shall be documented.</w:t>
      </w:r>
    </w:p>
    <w:tbl>
      <w:tblPr>
        <w:tblStyle w:val="TableGrid"/>
        <w:tblW w:w="9878"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4939"/>
        <w:gridCol w:w="4939"/>
      </w:tblGrid>
      <w:tr>
        <w:trPr/>
        <w:tc>
          <w:tcPr>
            <w:tcW w:w="49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Domain</w:t>
            </w:r>
          </w:p>
        </w:tc>
        <w:tc>
          <w:tcPr>
            <w:tcW w:w="49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Core indicators</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Safety</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Leading-action completion, high-potential events, corrective-action aging, training/inspection completion, incident rates where meaningful.</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Quality</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First-pass acceptance, NCR aging, rework cost, punch aging, warranty recurrence.</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Schedule</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Milestone reliability, lookahead plan percent complete, constraint aging, forecast variance.</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Cost</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Forecast margin movement, cost-to-complete accuracy, change aging, contingency use, cash exposure.</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Client</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Decision aging, issue closure, satisfaction, repeat work and references.</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Business development</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Qualified pipeline, hit rate, backlog quality, pursuit cost and loss reasons.</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People</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Vacancy/turnover, training compliance, development actions, short-service-worker support.</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Equipment</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Utilization, inspection compliance, downtime, maintenance backlog and damage.</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IT</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MFA/patch coverage, backup restore results, access-review findings, incident response.</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Document control</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Review compliance, obsolete-copy findings, unresolved change requests.</w:t>
            </w:r>
          </w:p>
        </w:tc>
      </w:tr>
    </w:tbl>
    <w:p>
      <w:pPr>
        <w:pStyle w:val="Normal"/>
        <w:spacing w:before="0" w:after="20"/>
        <w:rPr/>
      </w:pPr>
      <w:r>
        <w:rPr/>
      </w:r>
      <w:r>
        <w:br w:type="page"/>
      </w:r>
    </w:p>
    <w:p>
      <w:pPr>
        <w:pStyle w:val="Heading1"/>
        <w:keepNext w:val="true"/>
        <w:spacing w:before="0" w:after="160"/>
        <w:rPr/>
      </w:pPr>
      <w:r>
        <w:rPr>
          <w:rFonts w:ascii="Mendl Sans Dusk Bold" w:hAnsi="Mendl Sans Dusk Bold"/>
          <w:b/>
          <w:color w:val="386851"/>
          <w:sz w:val="32"/>
        </w:rPr>
        <w:t>Appendix A - Controlled document families</w:t>
      </w:r>
    </w:p>
    <w:p>
      <w:pPr>
        <w:pStyle w:val="Normal"/>
        <w:rPr/>
      </w:pPr>
      <w:r>
        <w:rPr>
          <w:b w:val="false"/>
          <w:color w:val="202723"/>
          <w:sz w:val="21"/>
        </w:rPr>
        <w:t>The initial controlled library should include the following families. Existing prefixes may be retained where practical.</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Family</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Purpose</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Current package status</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EMS/GOV</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Enterprise policy, governance, authority and document control</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New umbrella required.</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EHB</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Employee Handbook and state addenda</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Named but not supplied.</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OPS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Operations Manual</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Substantial; versions must be reconciled.</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RM</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Enterprise risk, insurance, continuity and legal controls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Early draft; expand and counsel-review.</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HR</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Workforce, competency and development</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Matrix exists; full procedures needed.</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MG/BSG</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Marketing and brand</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Combined marketing/brand content is supplied in the strategy package; register its authority and decide whether to retain one combined guide or split MG and BSG.</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SE/BID</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Sales, estimating and bid controls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Useful foundation; deepen estimate QA and contract interface.</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PEP</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Project execution</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Early draft; convert to lifecycle stage gates.</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SUB/PROC</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Procurement and subcontractors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Early draft; expand.</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FIN</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Financial controls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Early draft; expand WIP, cash, billing and fraud controls.</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QMP</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Quality management</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Present but too brief; add project ITP/NCR/CAPA.</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MISH</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Safety and health</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Broad; validate and add jurisdiction modules.</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ERP/BCP</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Project emergency response and enterprise continuity</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ERP exists; enterprise continuity requires expansion.</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EOM/FLEET</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Equipment, fleet, operator and maintenance controls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Foundations exist; reconcile overlaps.</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WMG</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Warehouse, tools and materials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Foundation exists; integrate chemical receipt.</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TBT</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Toolbox talks and field learning</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82 modules; renumber, review and expand.</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SDS/HCM</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Hazard communication, inventories, manufacturer SDS and quick cards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Quick cards exist; exact-product library missing.</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IT/SEC</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IT, data, cyber and recovery</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Foundation exists; expand resilience.</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NE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New employee orientation</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Guide exists; referenced system-access form missing.</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FORMS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Controlled forms, workflow schemas and record rules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59 forms; redesign metadata and evidence fields.</w:t>
            </w:r>
          </w:p>
        </w:tc>
      </w:tr>
    </w:tbl>
    <w:p>
      <w:pPr>
        <w:pStyle w:val="Normal"/>
        <w:spacing w:before="0" w:after="20"/>
        <w:rPr/>
      </w:pPr>
      <w:r>
        <w:rPr/>
      </w:r>
    </w:p>
    <w:p>
      <w:pPr>
        <w:pStyle w:val="Heading1"/>
        <w:keepNext w:val="true"/>
        <w:spacing w:before="0" w:after="160"/>
        <w:rPr/>
      </w:pPr>
      <w:r>
        <w:rPr>
          <w:rFonts w:ascii="Mendl Sans Dusk Bold" w:hAnsi="Mendl Sans Dusk Bold"/>
          <w:b/>
          <w:color w:val="386851"/>
          <w:sz w:val="32"/>
        </w:rPr>
        <w:t>Appendix B - Form design standard</w:t>
      </w:r>
    </w:p>
    <w:p>
      <w:pPr>
        <w:pStyle w:val="Normal"/>
        <w:rPr/>
      </w:pPr>
      <w:r>
        <w:rPr>
          <w:b w:val="false"/>
          <w:color w:val="202723"/>
          <w:sz w:val="21"/>
        </w:rPr>
        <w:t>Every controlled form should include:</w:t>
      </w:r>
    </w:p>
    <w:p>
      <w:pPr>
        <w:pStyle w:val="ListBullet"/>
        <w:numPr>
          <w:ilvl w:val="0"/>
          <w:numId w:val="1"/>
        </w:numPr>
        <w:spacing w:lineRule="auto" w:line="276" w:before="0" w:after="80"/>
        <w:ind w:hanging="259" w:start="461"/>
        <w:contextualSpacing/>
        <w:rPr/>
      </w:pPr>
      <w:r>
        <w:rPr>
          <w:b w:val="false"/>
          <w:color w:val="202723"/>
          <w:sz w:val="21"/>
        </w:rPr>
        <w:t>form ID, title, version and status;</w:t>
      </w:r>
    </w:p>
    <w:p>
      <w:pPr>
        <w:pStyle w:val="ListBullet"/>
        <w:numPr>
          <w:ilvl w:val="0"/>
          <w:numId w:val="1"/>
        </w:numPr>
        <w:spacing w:lineRule="auto" w:line="276" w:before="0" w:after="80"/>
        <w:ind w:hanging="259" w:start="461"/>
        <w:contextualSpacing/>
        <w:rPr/>
      </w:pPr>
      <w:r>
        <w:rPr>
          <w:b w:val="false"/>
          <w:color w:val="202723"/>
          <w:sz w:val="21"/>
        </w:rPr>
        <w:t>project/job, location and unique record number;</w:t>
      </w:r>
    </w:p>
    <w:p>
      <w:pPr>
        <w:pStyle w:val="ListBullet"/>
        <w:numPr>
          <w:ilvl w:val="0"/>
          <w:numId w:val="1"/>
        </w:numPr>
        <w:spacing w:lineRule="auto" w:line="276" w:before="0" w:after="80"/>
        <w:ind w:hanging="259" w:start="461"/>
        <w:contextualSpacing/>
        <w:rPr/>
      </w:pPr>
      <w:r>
        <w:rPr>
          <w:b w:val="false"/>
          <w:color w:val="202723"/>
          <w:sz w:val="21"/>
        </w:rPr>
        <w:t>date/time and responsible person;</w:t>
      </w:r>
    </w:p>
    <w:p>
      <w:pPr>
        <w:pStyle w:val="ListBullet"/>
        <w:numPr>
          <w:ilvl w:val="0"/>
          <w:numId w:val="1"/>
        </w:numPr>
        <w:spacing w:lineRule="auto" w:line="276" w:before="0" w:after="80"/>
        <w:ind w:hanging="259" w:start="461"/>
        <w:contextualSpacing/>
        <w:rPr/>
      </w:pPr>
      <w:r>
        <w:rPr>
          <w:b w:val="false"/>
          <w:color w:val="202723"/>
          <w:sz w:val="21"/>
        </w:rPr>
        <w:t>clear instructions and trigger;</w:t>
      </w:r>
    </w:p>
    <w:p>
      <w:pPr>
        <w:pStyle w:val="ListBullet"/>
        <w:numPr>
          <w:ilvl w:val="0"/>
          <w:numId w:val="1"/>
        </w:numPr>
        <w:spacing w:lineRule="auto" w:line="276" w:before="0" w:after="80"/>
        <w:ind w:hanging="259" w:start="461"/>
        <w:contextualSpacing/>
        <w:rPr/>
      </w:pPr>
      <w:r>
        <w:rPr>
          <w:b w:val="false"/>
          <w:color w:val="202723"/>
          <w:sz w:val="21"/>
        </w:rPr>
        <w:t>required facts, selections and attachments;</w:t>
      </w:r>
    </w:p>
    <w:p>
      <w:pPr>
        <w:pStyle w:val="ListBullet"/>
        <w:numPr>
          <w:ilvl w:val="0"/>
          <w:numId w:val="1"/>
        </w:numPr>
        <w:spacing w:lineRule="auto" w:line="276" w:before="0" w:after="80"/>
        <w:ind w:hanging="259" w:start="461"/>
        <w:contextualSpacing/>
        <w:rPr/>
      </w:pPr>
      <w:r>
        <w:rPr>
          <w:b w:val="false"/>
          <w:color w:val="202723"/>
          <w:sz w:val="21"/>
        </w:rPr>
        <w:t>review/approval and closure fields;</w:t>
      </w:r>
    </w:p>
    <w:p>
      <w:pPr>
        <w:pStyle w:val="ListBullet"/>
        <w:numPr>
          <w:ilvl w:val="0"/>
          <w:numId w:val="1"/>
        </w:numPr>
        <w:spacing w:lineRule="auto" w:line="276" w:before="0" w:after="80"/>
        <w:ind w:hanging="259" w:start="461"/>
        <w:contextualSpacing/>
        <w:rPr/>
      </w:pPr>
      <w:r>
        <w:rPr>
          <w:b w:val="false"/>
          <w:color w:val="202723"/>
          <w:sz w:val="21"/>
        </w:rPr>
        <w:t>corrective action, owner and due date when applicable;</w:t>
      </w:r>
    </w:p>
    <w:p>
      <w:pPr>
        <w:pStyle w:val="ListBullet"/>
        <w:numPr>
          <w:ilvl w:val="0"/>
          <w:numId w:val="1"/>
        </w:numPr>
        <w:spacing w:lineRule="auto" w:line="276" w:before="0" w:after="80"/>
        <w:ind w:hanging="259" w:start="461"/>
        <w:contextualSpacing/>
        <w:rPr/>
      </w:pPr>
      <w:r>
        <w:rPr>
          <w:b w:val="false"/>
          <w:color w:val="202723"/>
          <w:sz w:val="21"/>
        </w:rPr>
        <w:t>system of record and retention classification;</w:t>
      </w:r>
    </w:p>
    <w:p>
      <w:pPr>
        <w:pStyle w:val="ListBullet"/>
        <w:numPr>
          <w:ilvl w:val="0"/>
          <w:numId w:val="1"/>
        </w:numPr>
        <w:spacing w:lineRule="auto" w:line="276" w:before="0" w:after="80"/>
        <w:ind w:hanging="259" w:start="461"/>
        <w:contextualSpacing/>
        <w:rPr/>
      </w:pPr>
      <w:r>
        <w:rPr>
          <w:b w:val="false"/>
          <w:color w:val="202723"/>
          <w:sz w:val="21"/>
        </w:rPr>
        <w:t>page numbering when multi-page;</w:t>
      </w:r>
    </w:p>
    <w:p>
      <w:pPr>
        <w:pStyle w:val="ListBullet"/>
        <w:numPr>
          <w:ilvl w:val="0"/>
          <w:numId w:val="1"/>
        </w:numPr>
        <w:spacing w:lineRule="auto" w:line="276" w:before="0" w:after="80"/>
        <w:ind w:hanging="259" w:start="461"/>
        <w:contextualSpacing/>
        <w:rPr/>
      </w:pPr>
      <w:r>
        <w:rPr>
          <w:b w:val="false"/>
          <w:color w:val="202723"/>
          <w:sz w:val="21"/>
        </w:rPr>
        <w:t>accessibility and usable mobile/print layout.</w:t>
      </w:r>
    </w:p>
    <w:p>
      <w:pPr>
        <w:pStyle w:val="Normal"/>
        <w:rPr/>
      </w:pPr>
      <w:r>
        <w:rPr>
          <w:b w:val="false"/>
          <w:color w:val="202723"/>
          <w:sz w:val="21"/>
        </w:rPr>
        <w:t>Permit and inspection forms require acceptance criteria, not only blank narrative boxes. Digital forms should enforce required fields while preserving an offline fallback for field-critical processes.</w:t>
      </w:r>
      <w:r>
        <w:br w:type="page"/>
      </w:r>
    </w:p>
    <w:p>
      <w:pPr>
        <w:pStyle w:val="Heading1"/>
        <w:keepNext w:val="true"/>
        <w:spacing w:before="0" w:after="160"/>
        <w:rPr/>
      </w:pPr>
      <w:r>
        <w:rPr>
          <w:rFonts w:ascii="Mendl Sans Dusk Bold" w:hAnsi="Mendl Sans Dusk Bold"/>
          <w:b/>
          <w:color w:val="386851"/>
          <w:sz w:val="32"/>
        </w:rPr>
        <w:t>Appendix C - Toolbox-talk release gate</w:t>
      </w:r>
    </w:p>
    <w:p>
      <w:pPr>
        <w:pStyle w:val="Normal"/>
        <w:rPr/>
      </w:pPr>
      <w:r>
        <w:rPr>
          <w:b w:val="false"/>
          <w:color w:val="202723"/>
          <w:sz w:val="21"/>
        </w:rPr>
        <w:t>A TBT is approved only when:</w:t>
      </w:r>
    </w:p>
    <w:p>
      <w:pPr>
        <w:pStyle w:val="ListNumber"/>
        <w:numPr>
          <w:ilvl w:val="0"/>
          <w:numId w:val="4"/>
        </w:numPr>
        <w:spacing w:lineRule="auto" w:line="276" w:before="0" w:after="80"/>
        <w:ind w:hanging="259" w:start="461"/>
        <w:contextualSpacing/>
        <w:rPr/>
      </w:pPr>
      <w:r>
        <w:rPr>
          <w:b w:val="false"/>
          <w:color w:val="202723"/>
          <w:sz w:val="21"/>
        </w:rPr>
        <w:t>Its governing program is approved.</w:t>
      </w:r>
    </w:p>
    <w:p>
      <w:pPr>
        <w:pStyle w:val="ListNumber"/>
        <w:numPr>
          <w:ilvl w:val="0"/>
          <w:numId w:val="4"/>
        </w:numPr>
        <w:spacing w:lineRule="auto" w:line="276" w:before="0" w:after="80"/>
        <w:ind w:hanging="259" w:start="461"/>
        <w:contextualSpacing/>
        <w:rPr/>
      </w:pPr>
      <w:r>
        <w:rPr>
          <w:b w:val="false"/>
          <w:color w:val="202723"/>
          <w:sz w:val="21"/>
        </w:rPr>
        <w:t>Its topic ID and title are unique.</w:t>
      </w:r>
    </w:p>
    <w:p>
      <w:pPr>
        <w:pStyle w:val="ListNumber"/>
        <w:numPr>
          <w:ilvl w:val="0"/>
          <w:numId w:val="4"/>
        </w:numPr>
        <w:spacing w:lineRule="auto" w:line="276" w:before="0" w:after="80"/>
        <w:ind w:hanging="259" w:start="461"/>
        <w:contextualSpacing/>
        <w:rPr/>
      </w:pPr>
      <w:r>
        <w:rPr>
          <w:b w:val="false"/>
          <w:color w:val="202723"/>
          <w:sz w:val="21"/>
        </w:rPr>
        <w:t>Regulatory and manufacturer references are current.</w:t>
      </w:r>
    </w:p>
    <w:p>
      <w:pPr>
        <w:pStyle w:val="ListNumber"/>
        <w:numPr>
          <w:ilvl w:val="0"/>
          <w:numId w:val="4"/>
        </w:numPr>
        <w:spacing w:lineRule="auto" w:line="276" w:before="0" w:after="80"/>
        <w:ind w:hanging="259" w:start="461"/>
        <w:contextualSpacing/>
        <w:rPr/>
      </w:pPr>
      <w:r>
        <w:rPr>
          <w:b w:val="false"/>
          <w:color w:val="202723"/>
          <w:sz w:val="21"/>
        </w:rPr>
        <w:t>Technical thresholds are verified and properly qualified.</w:t>
      </w:r>
    </w:p>
    <w:p>
      <w:pPr>
        <w:pStyle w:val="ListNumber"/>
        <w:numPr>
          <w:ilvl w:val="0"/>
          <w:numId w:val="4"/>
        </w:numPr>
        <w:spacing w:lineRule="auto" w:line="276" w:before="0" w:after="80"/>
        <w:ind w:hanging="259" w:start="461"/>
        <w:contextualSpacing/>
        <w:rPr/>
      </w:pPr>
      <w:r>
        <w:rPr>
          <w:b w:val="false"/>
          <w:color w:val="202723"/>
          <w:sz w:val="21"/>
        </w:rPr>
        <w:t>Required form and permit IDs exist and are current.</w:t>
      </w:r>
    </w:p>
    <w:p>
      <w:pPr>
        <w:pStyle w:val="ListNumber"/>
        <w:numPr>
          <w:ilvl w:val="0"/>
          <w:numId w:val="4"/>
        </w:numPr>
        <w:spacing w:lineRule="auto" w:line="276" w:before="0" w:after="80"/>
        <w:ind w:hanging="259" w:start="461"/>
        <w:contextualSpacing/>
        <w:rPr/>
      </w:pPr>
      <w:r>
        <w:rPr>
          <w:b w:val="false"/>
          <w:color w:val="202723"/>
          <w:sz w:val="21"/>
        </w:rPr>
        <w:t>The talk distinguishes company policy from regulatory minimums.</w:t>
      </w:r>
    </w:p>
    <w:p>
      <w:pPr>
        <w:pStyle w:val="ListNumber"/>
        <w:numPr>
          <w:ilvl w:val="0"/>
          <w:numId w:val="4"/>
        </w:numPr>
        <w:spacing w:lineRule="auto" w:line="276" w:before="0" w:after="80"/>
        <w:ind w:hanging="259" w:start="461"/>
        <w:contextualSpacing/>
        <w:rPr/>
      </w:pPr>
      <w:r>
        <w:rPr>
          <w:b w:val="false"/>
          <w:color w:val="202723"/>
          <w:sz w:val="21"/>
        </w:rPr>
        <w:t>Site-specific discussion prompts are included.</w:t>
      </w:r>
    </w:p>
    <w:p>
      <w:pPr>
        <w:pStyle w:val="ListNumber"/>
        <w:numPr>
          <w:ilvl w:val="0"/>
          <w:numId w:val="4"/>
        </w:numPr>
        <w:spacing w:lineRule="auto" w:line="276" w:before="0" w:after="80"/>
        <w:ind w:hanging="259" w:start="461"/>
        <w:contextualSpacing/>
        <w:rPr/>
      </w:pPr>
      <w:r>
        <w:rPr>
          <w:b w:val="false"/>
          <w:color w:val="202723"/>
          <w:sz w:val="21"/>
        </w:rPr>
        <w:t>A comprehension check is included.</w:t>
      </w:r>
    </w:p>
    <w:p>
      <w:pPr>
        <w:pStyle w:val="ListNumber"/>
        <w:numPr>
          <w:ilvl w:val="0"/>
          <w:numId w:val="4"/>
        </w:numPr>
        <w:spacing w:lineRule="auto" w:line="276" w:before="0" w:after="80"/>
        <w:ind w:hanging="259" w:start="461"/>
        <w:contextualSpacing/>
        <w:rPr/>
      </w:pPr>
      <w:r>
        <w:rPr>
          <w:b w:val="false"/>
          <w:color w:val="202723"/>
          <w:sz w:val="21"/>
        </w:rPr>
        <w:t>Technical and document-control approvals are recorded.</w:t>
      </w:r>
    </w:p>
    <w:p>
      <w:pPr>
        <w:pStyle w:val="ListNumber"/>
        <w:numPr>
          <w:ilvl w:val="0"/>
          <w:numId w:val="4"/>
        </w:numPr>
        <w:spacing w:lineRule="auto" w:line="276" w:before="0" w:after="80"/>
        <w:ind w:hanging="259" w:start="461"/>
        <w:contextualSpacing/>
        <w:rPr/>
      </w:pPr>
      <w:r>
        <w:rPr>
          <w:b w:val="false"/>
          <w:color w:val="202723"/>
          <w:sz w:val="21"/>
        </w:rPr>
        <w:t>Translation, QR links and offline access are tested where used.</w:t>
      </w:r>
      <w:r>
        <w:br w:type="page"/>
      </w:r>
    </w:p>
    <w:p>
      <w:pPr>
        <w:pStyle w:val="Heading1"/>
        <w:keepNext w:val="true"/>
        <w:spacing w:before="0" w:after="160"/>
        <w:rPr/>
      </w:pPr>
      <w:r>
        <w:rPr>
          <w:rFonts w:ascii="Mendl Sans Dusk Bold" w:hAnsi="Mendl Sans Dusk Bold"/>
          <w:b/>
          <w:color w:val="386851"/>
          <w:sz w:val="32"/>
        </w:rPr>
        <w:t>Appendix D - SDS control fields</w:t>
      </w:r>
    </w:p>
    <w:p>
      <w:pPr>
        <w:pStyle w:val="Normal"/>
        <w:rPr/>
      </w:pPr>
      <w:r>
        <w:rPr>
          <w:b w:val="false"/>
          <w:color w:val="202723"/>
          <w:sz w:val="21"/>
        </w:rPr>
        <w:t>The SDS register should capture:</w:t>
      </w:r>
    </w:p>
    <w:tbl>
      <w:tblPr>
        <w:tblStyle w:val="TableGrid"/>
        <w:tblW w:w="9878"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4939"/>
        <w:gridCol w:w="4939"/>
      </w:tblGrid>
      <w:tr>
        <w:trPr/>
        <w:tc>
          <w:tcPr>
            <w:tcW w:w="49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Field</w:t>
            </w:r>
          </w:p>
        </w:tc>
        <w:tc>
          <w:tcPr>
            <w:tcW w:w="49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Requirement</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Product identifier</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Exact label name.</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Manufacturer/supplier</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Exact company, not “Various.”</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Product/SKU</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Distinguishes formulations.</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SDS revision date</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From source document.</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Date received/verified</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Evidence of current review.</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Project/location</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Where used or stored.</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Responsible contractor</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MH or subcontractor owner.</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Quantity/storage</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Supports emergency and environmental planning.</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Primary hazards</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Search/filter aid; source SDS controls.</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Quick-card ID</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Optional derived aid.</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Source file/link</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Immediate approved access.</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Offline-copy status</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Confirms field backup.</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Removed date</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Closes inventory lifecycle.</w:t>
            </w:r>
          </w:p>
        </w:tc>
      </w:tr>
    </w:tbl>
    <w:p>
      <w:pPr>
        <w:pStyle w:val="Normal"/>
        <w:spacing w:before="0" w:after="20"/>
        <w:rPr/>
      </w:pPr>
      <w:r>
        <w:rPr/>
      </w:r>
      <w:r>
        <w:br w:type="page"/>
      </w:r>
    </w:p>
    <w:p>
      <w:pPr>
        <w:pStyle w:val="Heading1"/>
        <w:keepNext w:val="true"/>
        <w:spacing w:before="0" w:after="160"/>
        <w:rPr/>
      </w:pPr>
      <w:r>
        <w:rPr>
          <w:rFonts w:ascii="Mendl Sans Dusk Bold" w:hAnsi="Mendl Sans Dusk Bold"/>
          <w:b/>
          <w:color w:val="386851"/>
          <w:sz w:val="32"/>
        </w:rPr>
        <w:t>Appendix E - Adoption checklist</w:t>
      </w:r>
    </w:p>
    <w:p>
      <w:pPr>
        <w:pStyle w:val="Normal"/>
        <w:rPr/>
      </w:pPr>
      <w:r>
        <w:rPr>
          <w:b w:val="false"/>
          <w:color w:val="202723"/>
          <w:sz w:val="21"/>
        </w:rPr>
        <w:t>Before Version 1.0 approval, leadership shall confirm:</w:t>
      </w:r>
    </w:p>
    <w:p>
      <w:pPr>
        <w:pStyle w:val="ListBullet"/>
        <w:numPr>
          <w:ilvl w:val="0"/>
          <w:numId w:val="1"/>
        </w:numPr>
        <w:spacing w:lineRule="auto" w:line="276" w:before="0" w:after="80"/>
        <w:ind w:hanging="259" w:start="461"/>
        <w:contextualSpacing/>
        <w:rPr/>
      </w:pPr>
      <w:r>
        <w:rPr>
          <w:b w:val="false"/>
          <w:color w:val="202723"/>
          <w:sz w:val="21"/>
        </w:rPr>
        <w:t>the legal organization chart and delegation matrix;</w:t>
      </w:r>
    </w:p>
    <w:p>
      <w:pPr>
        <w:pStyle w:val="ListBullet"/>
        <w:numPr>
          <w:ilvl w:val="0"/>
          <w:numId w:val="1"/>
        </w:numPr>
        <w:spacing w:lineRule="auto" w:line="276" w:before="0" w:after="80"/>
        <w:ind w:hanging="259" w:start="461"/>
        <w:contextualSpacing/>
        <w:rPr/>
      </w:pPr>
      <w:r>
        <w:rPr>
          <w:b w:val="false"/>
          <w:color w:val="202723"/>
          <w:sz w:val="21"/>
        </w:rPr>
        <w:t>document owners and approvers;</w:t>
      </w:r>
    </w:p>
    <w:p>
      <w:pPr>
        <w:pStyle w:val="ListBullet"/>
        <w:numPr>
          <w:ilvl w:val="0"/>
          <w:numId w:val="1"/>
        </w:numPr>
        <w:spacing w:lineRule="auto" w:line="276" w:before="0" w:after="80"/>
        <w:ind w:hanging="259" w:start="461"/>
        <w:contextualSpacing/>
        <w:rPr/>
      </w:pPr>
      <w:r>
        <w:rPr>
          <w:b w:val="false"/>
          <w:color w:val="202723"/>
          <w:sz w:val="21"/>
        </w:rPr>
        <w:t>the approved list of active jurisdictions;</w:t>
      </w:r>
    </w:p>
    <w:p>
      <w:pPr>
        <w:pStyle w:val="ListBullet"/>
        <w:numPr>
          <w:ilvl w:val="0"/>
          <w:numId w:val="1"/>
        </w:numPr>
        <w:spacing w:lineRule="auto" w:line="276" w:before="0" w:after="80"/>
        <w:ind w:hanging="259" w:start="461"/>
        <w:contextualSpacing/>
        <w:rPr/>
      </w:pPr>
      <w:r>
        <w:rPr>
          <w:b w:val="false"/>
          <w:color w:val="202723"/>
          <w:sz w:val="21"/>
        </w:rPr>
        <w:t>the authoritative systems-of-record matrix;</w:t>
      </w:r>
    </w:p>
    <w:p>
      <w:pPr>
        <w:pStyle w:val="ListBullet"/>
        <w:numPr>
          <w:ilvl w:val="0"/>
          <w:numId w:val="1"/>
        </w:numPr>
        <w:spacing w:lineRule="auto" w:line="276" w:before="0" w:after="80"/>
        <w:ind w:hanging="259" w:start="461"/>
        <w:contextualSpacing/>
        <w:rPr/>
      </w:pPr>
      <w:r>
        <w:rPr>
          <w:b w:val="false"/>
          <w:color w:val="202723"/>
          <w:sz w:val="21"/>
        </w:rPr>
        <w:t>current Employee Handbook and required state addenda;</w:t>
      </w:r>
    </w:p>
    <w:p>
      <w:pPr>
        <w:pStyle w:val="ListBullet"/>
        <w:numPr>
          <w:ilvl w:val="0"/>
          <w:numId w:val="1"/>
        </w:numPr>
        <w:spacing w:lineRule="auto" w:line="276" w:before="0" w:after="80"/>
        <w:ind w:hanging="259" w:start="461"/>
        <w:contextualSpacing/>
        <w:rPr/>
      </w:pPr>
      <w:r>
        <w:rPr>
          <w:b w:val="false"/>
          <w:color w:val="202723"/>
          <w:sz w:val="21"/>
        </w:rPr>
        <w:t>safety-professional review of MISH and high-risk TBTs;</w:t>
      </w:r>
    </w:p>
    <w:p>
      <w:pPr>
        <w:pStyle w:val="ListBullet"/>
        <w:numPr>
          <w:ilvl w:val="0"/>
          <w:numId w:val="1"/>
        </w:numPr>
        <w:spacing w:lineRule="auto" w:line="276" w:before="0" w:after="80"/>
        <w:ind w:hanging="259" w:start="461"/>
        <w:contextualSpacing/>
        <w:rPr/>
      </w:pPr>
      <w:r>
        <w:rPr>
          <w:b w:val="false"/>
          <w:color w:val="202723"/>
          <w:sz w:val="21"/>
        </w:rPr>
        <w:t>construction/employment counsel review of affected legal policies;</w:t>
      </w:r>
    </w:p>
    <w:p>
      <w:pPr>
        <w:pStyle w:val="ListBullet"/>
        <w:numPr>
          <w:ilvl w:val="0"/>
          <w:numId w:val="1"/>
        </w:numPr>
        <w:spacing w:lineRule="auto" w:line="276" w:before="0" w:after="80"/>
        <w:ind w:hanging="259" w:start="461"/>
        <w:contextualSpacing/>
        <w:rPr/>
      </w:pPr>
      <w:r>
        <w:rPr>
          <w:b w:val="false"/>
          <w:color w:val="202723"/>
          <w:sz w:val="21"/>
        </w:rPr>
        <w:t>exact-product chemical inventory and manufacturer SDS access;</w:t>
      </w:r>
    </w:p>
    <w:p>
      <w:pPr>
        <w:pStyle w:val="ListBullet"/>
        <w:numPr>
          <w:ilvl w:val="0"/>
          <w:numId w:val="1"/>
        </w:numPr>
        <w:spacing w:lineRule="auto" w:line="276" w:before="0" w:after="80"/>
        <w:ind w:hanging="259" w:start="461"/>
        <w:contextualSpacing/>
        <w:rPr/>
      </w:pPr>
      <w:r>
        <w:rPr>
          <w:b w:val="false"/>
          <w:color w:val="202723"/>
          <w:sz w:val="21"/>
        </w:rPr>
        <w:t>project pilot and field usability results;</w:t>
      </w:r>
    </w:p>
    <w:p>
      <w:pPr>
        <w:pStyle w:val="ListBullet"/>
        <w:numPr>
          <w:ilvl w:val="0"/>
          <w:numId w:val="1"/>
        </w:numPr>
        <w:spacing w:lineRule="auto" w:line="276" w:before="0" w:after="80"/>
        <w:ind w:hanging="259" w:start="461"/>
        <w:contextualSpacing/>
        <w:rPr/>
      </w:pPr>
      <w:r>
        <w:rPr>
          <w:b w:val="false"/>
          <w:color w:val="202723"/>
          <w:sz w:val="21"/>
        </w:rPr>
        <w:t>training and communication plan;</w:t>
      </w:r>
    </w:p>
    <w:p>
      <w:pPr>
        <w:pStyle w:val="ListBullet"/>
        <w:numPr>
          <w:ilvl w:val="0"/>
          <w:numId w:val="1"/>
        </w:numPr>
        <w:spacing w:lineRule="auto" w:line="276" w:before="0" w:after="80"/>
        <w:ind w:hanging="259" w:start="461"/>
        <w:contextualSpacing/>
        <w:rPr/>
      </w:pPr>
      <w:r>
        <w:rPr>
          <w:b w:val="false"/>
          <w:color w:val="202723"/>
          <w:sz w:val="21"/>
        </w:rPr>
        <w:t>archive of superseded source documents;</w:t>
      </w:r>
    </w:p>
    <w:p>
      <w:pPr>
        <w:pStyle w:val="ListBullet"/>
        <w:numPr>
          <w:ilvl w:val="0"/>
          <w:numId w:val="1"/>
        </w:numPr>
        <w:spacing w:lineRule="auto" w:line="276" w:before="0" w:after="80"/>
        <w:ind w:hanging="259" w:start="461"/>
        <w:contextualSpacing/>
        <w:rPr/>
      </w:pPr>
      <w:r>
        <w:rPr>
          <w:b w:val="false"/>
          <w:color w:val="202723"/>
          <w:sz w:val="21"/>
        </w:rPr>
        <w:t>signed approval and effective date.</w:t>
      </w:r>
      <w:r>
        <w:br w:type="page"/>
      </w:r>
    </w:p>
    <w:p>
      <w:pPr>
        <w:pStyle w:val="Heading1"/>
        <w:keepNext w:val="true"/>
        <w:spacing w:before="0" w:after="160"/>
        <w:rPr/>
      </w:pPr>
      <w:r>
        <w:rPr>
          <w:rFonts w:ascii="Mendl Sans Dusk Bold" w:hAnsi="Mendl Sans Dusk Bold"/>
          <w:b/>
          <w:color w:val="386851"/>
          <w:sz w:val="32"/>
        </w:rPr>
        <w:t>Appendix F - Definitions</w:t>
      </w:r>
    </w:p>
    <w:p>
      <w:pPr>
        <w:pStyle w:val="Normal"/>
        <w:rPr/>
      </w:pPr>
      <w:r>
        <w:rPr>
          <w:rFonts w:ascii="Mendl Sans Dusk Bold" w:hAnsi="Mendl Sans Dusk Bold"/>
          <w:b/>
          <w:color w:val="202723"/>
          <w:sz w:val="21"/>
        </w:rPr>
        <w:t>Approved:</w:t>
      </w:r>
      <w:r>
        <w:rPr>
          <w:b w:val="false"/>
          <w:color w:val="202723"/>
          <w:sz w:val="21"/>
        </w:rPr>
        <w:t xml:space="preserve"> Formally authorized and released for use. </w:t>
      </w:r>
      <w:r>
        <w:rPr>
          <w:rFonts w:ascii="Mendl Sans Dusk Bold" w:hAnsi="Mendl Sans Dusk Bold"/>
          <w:b/>
          <w:color w:val="202723"/>
          <w:sz w:val="21"/>
        </w:rPr>
        <w:t>Competent Person:</w:t>
      </w:r>
      <w:r>
        <w:rPr>
          <w:b w:val="false"/>
          <w:color w:val="202723"/>
          <w:sz w:val="21"/>
        </w:rPr>
        <w:t xml:space="preserve"> A term defined by applicable safety standards; designation requires the knowledge and authority required by the applicable rule. </w:t>
      </w:r>
      <w:r>
        <w:rPr>
          <w:rFonts w:ascii="Mendl Sans Dusk Bold" w:hAnsi="Mendl Sans Dusk Bold"/>
          <w:b/>
          <w:color w:val="202723"/>
          <w:sz w:val="21"/>
        </w:rPr>
        <w:t>Corrective action:</w:t>
      </w:r>
      <w:r>
        <w:rPr>
          <w:b w:val="false"/>
          <w:color w:val="202723"/>
          <w:sz w:val="21"/>
        </w:rPr>
        <w:t xml:space="preserve"> Action that addresses the cause of a detected problem to prevent recurrence. </w:t>
      </w:r>
      <w:r>
        <w:rPr>
          <w:rFonts w:ascii="Mendl Sans Dusk Bold" w:hAnsi="Mendl Sans Dusk Bold"/>
          <w:b/>
          <w:color w:val="202723"/>
          <w:sz w:val="21"/>
        </w:rPr>
        <w:t>Controlled document:</w:t>
      </w:r>
      <w:r>
        <w:rPr>
          <w:b w:val="false"/>
          <w:color w:val="202723"/>
          <w:sz w:val="21"/>
        </w:rPr>
        <w:t xml:space="preserve"> A document subject to approval, version, access, revision and removal rules. </w:t>
      </w:r>
      <w:r>
        <w:rPr>
          <w:rFonts w:ascii="Mendl Sans Dusk Bold" w:hAnsi="Mendl Sans Dusk Bold"/>
          <w:b/>
          <w:color w:val="202723"/>
          <w:sz w:val="21"/>
        </w:rPr>
        <w:t>Evidence:</w:t>
      </w:r>
      <w:r>
        <w:rPr>
          <w:b w:val="false"/>
          <w:color w:val="202723"/>
          <w:sz w:val="21"/>
        </w:rPr>
        <w:t xml:space="preserve"> A record showing that a required action or decision occurred. </w:t>
      </w:r>
      <w:r>
        <w:rPr>
          <w:rFonts w:ascii="Mendl Sans Dusk Bold" w:hAnsi="Mendl Sans Dusk Bold"/>
          <w:b/>
          <w:color w:val="202723"/>
          <w:sz w:val="21"/>
        </w:rPr>
        <w:t>Hold point:</w:t>
      </w:r>
      <w:r>
        <w:rPr>
          <w:b w:val="false"/>
          <w:color w:val="202723"/>
          <w:sz w:val="21"/>
        </w:rPr>
        <w:t xml:space="preserve"> A point beyond which work may not proceed without specified acceptance. </w:t>
      </w:r>
      <w:r>
        <w:rPr>
          <w:rFonts w:ascii="Mendl Sans Dusk Bold" w:hAnsi="Mendl Sans Dusk Bold"/>
          <w:b/>
          <w:color w:val="202723"/>
          <w:sz w:val="21"/>
        </w:rPr>
        <w:t>NCR:</w:t>
      </w:r>
      <w:r>
        <w:rPr>
          <w:b w:val="false"/>
          <w:color w:val="202723"/>
          <w:sz w:val="21"/>
        </w:rPr>
        <w:t xml:space="preserve"> Nonconformance report documenting work or material that does not meet requirements. </w:t>
      </w:r>
      <w:r>
        <w:rPr>
          <w:rFonts w:ascii="Mendl Sans Dusk Bold" w:hAnsi="Mendl Sans Dusk Bold"/>
          <w:b/>
          <w:color w:val="202723"/>
          <w:sz w:val="21"/>
        </w:rPr>
        <w:t>Qualified Person:</w:t>
      </w:r>
      <w:r>
        <w:rPr>
          <w:b w:val="false"/>
          <w:color w:val="202723"/>
          <w:sz w:val="21"/>
        </w:rPr>
        <w:t xml:space="preserve"> A term defined by the applicable rule or professional context; it is not established merely by job title. </w:t>
      </w:r>
      <w:r>
        <w:rPr>
          <w:rFonts w:ascii="Mendl Sans Dusk Bold" w:hAnsi="Mendl Sans Dusk Bold"/>
          <w:b/>
          <w:color w:val="202723"/>
          <w:sz w:val="21"/>
        </w:rPr>
        <w:t>Quick-reference card:</w:t>
      </w:r>
      <w:r>
        <w:rPr>
          <w:b w:val="false"/>
          <w:color w:val="202723"/>
          <w:sz w:val="21"/>
        </w:rPr>
        <w:t xml:space="preserve"> A summary aid that does not replace the controlling source. </w:t>
      </w:r>
      <w:r>
        <w:rPr>
          <w:rFonts w:ascii="Mendl Sans Dusk Bold" w:hAnsi="Mendl Sans Dusk Bold"/>
          <w:b/>
          <w:color w:val="202723"/>
          <w:sz w:val="21"/>
        </w:rPr>
        <w:t>Record:</w:t>
      </w:r>
      <w:r>
        <w:rPr>
          <w:b w:val="false"/>
          <w:color w:val="202723"/>
          <w:sz w:val="21"/>
        </w:rPr>
        <w:t xml:space="preserve"> Evidence retained after a process or decision. </w:t>
      </w:r>
      <w:r>
        <w:rPr>
          <w:rFonts w:ascii="Mendl Sans Dusk Bold" w:hAnsi="Mendl Sans Dusk Bold"/>
          <w:b/>
          <w:color w:val="202723"/>
          <w:sz w:val="21"/>
        </w:rPr>
        <w:t>System of record:</w:t>
      </w:r>
      <w:r>
        <w:rPr>
          <w:b w:val="false"/>
          <w:color w:val="202723"/>
          <w:sz w:val="21"/>
        </w:rPr>
        <w:t xml:space="preserve"> The authoritative location for a defined class of information. </w:t>
      </w:r>
      <w:r>
        <w:rPr>
          <w:rFonts w:ascii="Mendl Sans Dusk Bold" w:hAnsi="Mendl Sans Dusk Bold"/>
          <w:b/>
          <w:color w:val="202723"/>
          <w:sz w:val="21"/>
        </w:rPr>
        <w:t>TBT:</w:t>
      </w:r>
      <w:r>
        <w:rPr>
          <w:b w:val="false"/>
          <w:color w:val="202723"/>
          <w:sz w:val="21"/>
        </w:rPr>
        <w:t xml:space="preserve"> Toolbox talk used to reinforce approved controls and engage the crew.</w:t>
      </w:r>
      <w:r>
        <w:br w:type="page"/>
      </w:r>
    </w:p>
    <w:p>
      <w:pPr>
        <w:pStyle w:val="Heading1"/>
        <w:keepNext w:val="true"/>
        <w:spacing w:before="0" w:after="160"/>
        <w:rPr/>
      </w:pPr>
      <w:r>
        <w:rPr>
          <w:rFonts w:ascii="Mendl Sans Dusk Bold" w:hAnsi="Mendl Sans Dusk Bold"/>
          <w:b/>
          <w:color w:val="386851"/>
          <w:sz w:val="32"/>
        </w:rPr>
        <w:t>Appendix G - Official baseline references</w:t>
      </w:r>
    </w:p>
    <w:p>
      <w:pPr>
        <w:pStyle w:val="ListBullet"/>
        <w:numPr>
          <w:ilvl w:val="0"/>
          <w:numId w:val="1"/>
        </w:numPr>
        <w:spacing w:lineRule="auto" w:line="276" w:before="0" w:after="80"/>
        <w:ind w:hanging="259" w:start="461"/>
        <w:contextualSpacing/>
        <w:rPr/>
      </w:pPr>
      <w:r>
        <w:rPr>
          <w:b w:val="false"/>
          <w:color w:val="202723"/>
          <w:sz w:val="21"/>
        </w:rPr>
        <w:t xml:space="preserve">Washington construction Accident Prevention Program: </w:t>
      </w:r>
      <w:r>
        <w:rPr>
          <w:b w:val="false"/>
          <w:color w:val="386851"/>
          <w:sz w:val="21"/>
          <w:u w:val="single"/>
        </w:rPr>
        <w:t>https://app.leg.wa.gov/wac/default.aspx?cite=296-155-110</w:t>
      </w:r>
    </w:p>
    <w:p>
      <w:pPr>
        <w:pStyle w:val="ListBullet"/>
        <w:numPr>
          <w:ilvl w:val="0"/>
          <w:numId w:val="1"/>
        </w:numPr>
        <w:spacing w:lineRule="auto" w:line="276" w:before="0" w:after="80"/>
        <w:ind w:hanging="259" w:start="461"/>
        <w:contextualSpacing/>
        <w:rPr/>
      </w:pPr>
      <w:r>
        <w:rPr>
          <w:b w:val="false"/>
          <w:color w:val="202723"/>
          <w:sz w:val="21"/>
        </w:rPr>
        <w:t xml:space="preserve">Oregon safety committees and meetings: </w:t>
      </w:r>
      <w:r>
        <w:rPr>
          <w:b w:val="false"/>
          <w:color w:val="386851"/>
          <w:sz w:val="21"/>
          <w:u w:val="single"/>
        </w:rPr>
        <w:t>https://osha.oregon.gov/rules/final/division-1/pages/437-001-0760-0765.aspx</w:t>
      </w:r>
    </w:p>
    <w:p>
      <w:pPr>
        <w:pStyle w:val="ListBullet"/>
        <w:numPr>
          <w:ilvl w:val="0"/>
          <w:numId w:val="1"/>
        </w:numPr>
        <w:spacing w:lineRule="auto" w:line="276" w:before="0" w:after="80"/>
        <w:ind w:hanging="259" w:start="461"/>
        <w:contextualSpacing/>
        <w:rPr/>
      </w:pPr>
      <w:r>
        <w:rPr>
          <w:b w:val="false"/>
          <w:color w:val="202723"/>
          <w:sz w:val="21"/>
        </w:rPr>
        <w:t xml:space="preserve">OSHA state-plan directory: </w:t>
      </w:r>
      <w:r>
        <w:rPr>
          <w:b w:val="false"/>
          <w:color w:val="386851"/>
          <w:sz w:val="21"/>
          <w:u w:val="single"/>
        </w:rPr>
        <w:t>https://www.osha.gov/stateplans</w:t>
      </w:r>
    </w:p>
    <w:p>
      <w:pPr>
        <w:pStyle w:val="ListBullet"/>
        <w:numPr>
          <w:ilvl w:val="0"/>
          <w:numId w:val="1"/>
        </w:numPr>
        <w:spacing w:lineRule="auto" w:line="276" w:before="0" w:after="80"/>
        <w:ind w:hanging="259" w:start="461"/>
        <w:contextualSpacing/>
        <w:rPr/>
      </w:pPr>
      <w:r>
        <w:rPr>
          <w:b w:val="false"/>
          <w:color w:val="202723"/>
          <w:sz w:val="21"/>
        </w:rPr>
        <w:t xml:space="preserve">OSHA Hazard Communication Standard: </w:t>
      </w:r>
      <w:r>
        <w:rPr>
          <w:b w:val="false"/>
          <w:color w:val="386851"/>
          <w:sz w:val="21"/>
          <w:u w:val="single"/>
        </w:rPr>
        <w:t>https://www.osha.gov/laws-regs/regulations/standardnumber/1910/1910.1200</w:t>
      </w:r>
    </w:p>
    <w:p>
      <w:pPr>
        <w:pStyle w:val="ListBullet"/>
        <w:numPr>
          <w:ilvl w:val="0"/>
          <w:numId w:val="1"/>
        </w:numPr>
        <w:spacing w:lineRule="auto" w:line="276" w:before="0" w:after="80"/>
        <w:ind w:hanging="259" w:start="461"/>
        <w:contextualSpacing/>
        <w:rPr/>
      </w:pPr>
      <w:r>
        <w:rPr>
          <w:b w:val="false"/>
          <w:color w:val="202723"/>
          <w:sz w:val="21"/>
        </w:rPr>
        <w:t xml:space="preserve">OSHA HCS compliance extension: </w:t>
      </w:r>
      <w:r>
        <w:rPr>
          <w:b w:val="false"/>
          <w:color w:val="386851"/>
          <w:sz w:val="21"/>
          <w:u w:val="single"/>
        </w:rPr>
        <w:t>https://www.osha.gov/hazcom/rulemaking/extension</w:t>
      </w:r>
    </w:p>
    <w:p>
      <w:pPr>
        <w:pStyle w:val="ListBullet"/>
        <w:numPr>
          <w:ilvl w:val="0"/>
          <w:numId w:val="1"/>
        </w:numPr>
        <w:spacing w:lineRule="auto" w:line="276" w:before="0" w:after="80"/>
        <w:ind w:hanging="259" w:start="461"/>
        <w:contextualSpacing/>
        <w:rPr/>
      </w:pPr>
      <w:r>
        <w:rPr>
          <w:b w:val="false"/>
          <w:color w:val="202723"/>
          <w:sz w:val="21"/>
        </w:rPr>
        <w:t xml:space="preserve">OSHA Outreach Training Program: </w:t>
      </w:r>
      <w:r>
        <w:rPr>
          <w:b w:val="false"/>
          <w:color w:val="386851"/>
          <w:sz w:val="21"/>
          <w:u w:val="single"/>
        </w:rPr>
        <w:t>https://www.osha.gov/training/outreach</w:t>
      </w:r>
    </w:p>
    <w:p>
      <w:pPr>
        <w:pStyle w:val="ListBullet"/>
        <w:numPr>
          <w:ilvl w:val="0"/>
          <w:numId w:val="1"/>
        </w:numPr>
        <w:spacing w:lineRule="auto" w:line="276" w:before="0" w:after="80"/>
        <w:ind w:hanging="259" w:start="461"/>
        <w:contextualSpacing/>
        <w:rPr/>
      </w:pPr>
      <w:r>
        <w:rPr>
          <w:b w:val="false"/>
          <w:color w:val="202723"/>
          <w:sz w:val="21"/>
        </w:rPr>
        <w:t xml:space="preserve">Washington lien notice statute: </w:t>
      </w:r>
      <w:r>
        <w:rPr>
          <w:b w:val="false"/>
          <w:color w:val="386851"/>
          <w:sz w:val="21"/>
          <w:u w:val="single"/>
        </w:rPr>
        <w:t>https://app.leg.wa.gov/rcw/default.aspx?cite=60.04.031</w:t>
      </w:r>
    </w:p>
    <w:p>
      <w:pPr>
        <w:pStyle w:val="ListBullet"/>
        <w:numPr>
          <w:ilvl w:val="0"/>
          <w:numId w:val="1"/>
        </w:numPr>
        <w:spacing w:lineRule="auto" w:line="276" w:before="0" w:after="80"/>
        <w:ind w:hanging="259" w:start="461"/>
        <w:contextualSpacing/>
        <w:rPr/>
      </w:pPr>
      <w:r>
        <w:rPr>
          <w:b w:val="false"/>
          <w:color w:val="202723"/>
          <w:sz w:val="21"/>
        </w:rPr>
        <w:t xml:space="preserve">NIST Cybersecurity Framework 2.0: </w:t>
      </w:r>
      <w:r>
        <w:rPr>
          <w:b w:val="false"/>
          <w:color w:val="386851"/>
          <w:sz w:val="21"/>
          <w:u w:val="single"/>
        </w:rPr>
        <w:t>https://www.nist.gov/publications/nist-cybersecurity-framework-csf-20</w:t>
      </w:r>
    </w:p>
    <w:p>
      <w:pPr>
        <w:pStyle w:val="Normal"/>
        <w:pBdr>
          <w:bottom w:val="single" w:sz="8" w:space="0" w:color="BD9264"/>
        </w:pBdr>
        <w:spacing w:before="0" w:after="120"/>
        <w:rPr/>
      </w:pPr>
      <w:r>
        <w:rPr/>
      </w:r>
    </w:p>
    <w:p>
      <w:pPr>
        <w:pStyle w:val="Normal"/>
        <w:rPr/>
      </w:pPr>
      <w:r>
        <w:rPr>
          <w:rFonts w:ascii="Mendl Sans Dusk Bold" w:hAnsi="Mendl Sans Dusk Bold"/>
          <w:b/>
          <w:color w:val="202723"/>
          <w:sz w:val="21"/>
        </w:rPr>
        <w:t>Approval record</w:t>
      </w:r>
    </w:p>
    <w:tbl>
      <w:tblPr>
        <w:tblStyle w:val="TableGrid"/>
        <w:tblW w:w="987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2469"/>
        <w:gridCol w:w="2469"/>
        <w:gridCol w:w="2469"/>
        <w:gridCol w:w="2469"/>
      </w:tblGrid>
      <w:tr>
        <w:trPr/>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Role</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Name</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Decision</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color w:val="FFFFFF"/>
                <w:kern w:val="0"/>
                <w:sz w:val="17"/>
                <w:szCs w:val="22"/>
                <w:lang w:val="en-US" w:eastAsia="en-US" w:bidi="ar-SA"/>
              </w:rPr>
              <w:t>Date</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Owner/CEO</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Approve / Reject</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COO</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Recommend / Revise</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CFO/financial lead</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Concur / Revise</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HR lead</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Concur / Revise</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Safety lead</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Concur / Revise</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IT lead</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b w:val="false"/>
                <w:color w:val="202723"/>
                <w:kern w:val="0"/>
                <w:sz w:val="17"/>
                <w:szCs w:val="22"/>
                <w:lang w:val="en-US" w:eastAsia="en-US" w:bidi="ar-SA"/>
              </w:rPr>
              <w:t>Concur / Revise</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20"/>
        <w:rPr/>
      </w:pPr>
      <w:r>
        <w:rPr/>
      </w:r>
    </w:p>
    <w:p>
      <w:pPr>
        <w:pStyle w:val="Normal"/>
        <w:widowControl/>
        <w:bidi w:val="0"/>
        <w:spacing w:lineRule="auto" w:line="288" w:before="0" w:after="120"/>
        <w:jc w:val="start"/>
        <w:rPr/>
      </w:pPr>
      <w:r>
        <w:rPr>
          <w:rFonts w:ascii="Mendl Sans Dusk Bold" w:hAnsi="Mendl Sans Dusk Bold"/>
          <w:b/>
          <w:color w:val="202723"/>
          <w:sz w:val="21"/>
        </w:rPr>
        <w:t>Professional-review note:</w:t>
      </w:r>
      <w:r>
        <w:rPr>
          <w:b w:val="false"/>
          <w:color w:val="202723"/>
          <w:sz w:val="21"/>
        </w:rPr>
        <w:t xml:space="preserve"> This management-system draft does not certify legal or regulatory compliance. MH Construction, INC must validate it against current law, contracts, manufacturer instructions, engineered plans and actual operations before approval or field use.</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57</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57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57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135619D6-7742-4C83-8C74-C4F8BCD9DE10}"/>
</file>

<file path=customXml/itemProps2.xml><?xml version="1.0" encoding="utf-8"?>
<ds:datastoreItem xmlns:ds="http://schemas.openxmlformats.org/officeDocument/2006/customXml" ds:itemID="{A01D9A08-A6F9-4CDD-BE61-C9F2283C2E0D}"/>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F6EC0543-6B80-4476-8FC0-1CF8E4D73715}"/>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57</Pages>
  <Words>6774</Words>
  <Characters>44535</Characters>
  <CharactersWithSpaces>50262</CharactersWithSpaces>
  <Paragraphs>774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2026-08-05T19:39:53Z</dcterms:modified>
  <cp:revision>7</cp:revision>
  <dc:subject>MH Ecosystem Version 1.0 Draft</dc:subject>
  <dc:title>MH Company Bible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