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styles.xml" ContentType="application/vnd.openxmlformats-officedocument.wordprocessingml.styl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878"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9878"/>
      </w:tblGrid>
      <w:tr>
        <w:trPr>
          <w:trHeight w:val="12200" w:hRule="atLeast"/>
        </w:trPr>
        <w:tc>
          <w:tcPr>
            <w:tcW w:w="9878" w:type="dxa"/>
            <w:tcBorders/>
            <w:shd w:fill="FFFFFF" w:val="clear"/>
            <w:vAlign w:val="center"/>
          </w:tcPr>
          <w:p>
            <w:pPr>
              <w:pStyle w:val="Normal"/>
              <w:spacing w:before="0" w:after="40"/>
              <w:jc w:val="center"/>
              <w:rPr/>
            </w:pPr>
            <w:r>
              <w:rPr/>
              <w:drawing>
                <wp:inline distT="0" distB="0" distL="0" distR="0">
                  <wp:extent cx="2148840" cy="12249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2148840" cy="1224915"/>
                          </a:xfrm>
                          <a:prstGeom prst="rect">
                            <a:avLst/>
                          </a:prstGeom>
                          <a:noFill/>
                        </pic:spPr>
                      </pic:pic>
                    </a:graphicData>
                  </a:graphic>
                </wp:inline>
              </w:drawing>
            </w:r>
          </w:p>
          <w:p>
            <w:pPr>
              <w:pStyle w:val="Normal"/>
              <w:spacing w:before="0" w:after="40"/>
              <w:jc w:val="start"/>
              <w:rPr/>
            </w:pPr>
            <w:r>
              <w:rPr>
                <w:rFonts w:eastAsia="Mendl Sans Dusk Medium" w:cs="Mendl Sans Dusk Medium"/>
                <w:b/>
                <w:color w:val="BD9264"/>
                <w:sz w:val="18"/>
              </w:rPr>
              <w:t>CONTROLLED ENTERPRISE DOCUMENT</w:t>
            </w:r>
          </w:p>
          <w:p>
            <w:pPr>
              <w:pStyle w:val="Normal"/>
              <w:spacing w:before="0" w:after="40"/>
              <w:jc w:val="start"/>
              <w:rPr/>
            </w:pPr>
            <w:r>
              <w:rPr>
                <w:rFonts w:eastAsia="Mendl Sans Dusk Bold" w:cs="Mendl Sans Dusk Bold"/>
                <w:b/>
                <w:color w:val="386851"/>
                <w:sz w:val="48"/>
              </w:rPr>
              <w:t>MH Bidpilot Sales Estimating Preconstruction Standard</w:t>
            </w:r>
          </w:p>
          <w:p>
            <w:pPr>
              <w:pStyle w:val="Normal"/>
              <w:spacing w:before="0" w:after="40"/>
              <w:jc w:val="start"/>
              <w:rPr/>
            </w:pPr>
            <w:r>
              <w:rPr>
                <w:rFonts w:eastAsia="Mendl Sans Dusk Medium" w:cs="Mendl Sans Dusk Medium"/>
                <w:b w:val="false"/>
                <w:color w:val="386851"/>
                <w:sz w:val="20"/>
              </w:rPr>
              <w:t>MH Construction, INC Enterprise Management System</w:t>
            </w:r>
          </w:p>
          <w:p>
            <w:pPr>
              <w:pStyle w:val="Normal"/>
              <w:spacing w:before="0" w:after="40"/>
              <w:jc w:val="start"/>
              <w:rPr/>
            </w:pPr>
            <w:r>
              <w:rPr>
                <w:rFonts w:eastAsia="Mendl Sans Dusk Regular" w:cs="Mendl Sans Dusk Regular"/>
                <w:b w:val="false"/>
                <w:color w:val="434343"/>
                <w:sz w:val="18"/>
              </w:rPr>
              <w:t>Document family: STRATEGY AND BUSINESS DEVELOPMENT</w:t>
              <w:br/>
              <w:t>Document title: MH Bidpilot Sales Estimating Preconstruction Standard</w:t>
              <w:br/>
              <w:t>Version: 1.0 | Lifecycle: Rough Draft</w:t>
            </w:r>
          </w:p>
          <w:p>
            <w:pPr>
              <w:pStyle w:val="Normal"/>
              <w:pBdr>
                <w:bottom w:val="single" w:sz="6" w:space="7" w:color="BD9264"/>
              </w:pBdr>
              <w:spacing w:before="120" w:after="40"/>
              <w:rPr/>
            </w:pPr>
            <w:r>
              <w:rPr>
                <w:rFonts w:eastAsia="Mendl Sans Dusk Medium" w:cs="Mendl Sans Dusk Medium"/>
                <w:b w:val="false"/>
                <w:color w:val="434343"/>
                <w:sz w:val="16"/>
              </w:rPr>
              <w:t>Use only after required functional, technical, field-usability, and approval gates are complete.</w:t>
            </w:r>
          </w:p>
        </w:tc>
      </w:tr>
    </w:tbl>
    <w:p>
      <w:pPr>
        <w:pStyle w:val="Normal"/>
        <w:rPr/>
      </w:pPr>
      <w:r>
        <w:rPr/>
      </w:r>
      <w:r>
        <w:br w:type="page"/>
      </w:r>
    </w:p>
    <w:p>
      <w:pPr>
        <w:pStyle w:val="Normal"/>
        <w:spacing w:before="0" w:after="120"/>
        <w:rPr/>
      </w:pPr>
      <w:r>
        <w:rPr/>
        <w:t>Control: Version 1.0 | Status Rough Draft | Author and Chief Editor: Matt Ramsey | Co-Editor: Todd Shoeff | Final Approver: Jeremy Thamert</w:t>
      </w:r>
    </w:p>
    <w:p>
      <w:pPr>
        <w:pStyle w:val="Title"/>
        <w:rPr/>
      </w:pPr>
      <w:r>
        <w:rPr/>
        <w:t>BidPilot Sales, Estimating, and Preconstruction Standard</w:t>
      </w:r>
    </w:p>
    <w:p>
      <w:pPr>
        <w:pStyle w:val="Subtitle"/>
        <w:rPr/>
      </w:pPr>
      <w:r>
        <w:rPr/>
        <w:t>Version 1.0 | Rough Draft | Effective date pending approval</w:t>
      </w:r>
    </w:p>
    <w:tbl>
      <w:tblPr>
        <w:tblW w:w="9878"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4939"/>
        <w:gridCol w:w="4939"/>
      </w:tblGrid>
      <w:tr>
        <w:trPr/>
        <w:tc>
          <w:tcPr>
            <w:tcW w:w="4939" w:type="dxa"/>
            <w:tcBorders/>
            <w:shd w:fill="386851" w:val="clear"/>
            <w:vAlign w:val="center"/>
          </w:tcPr>
          <w:p>
            <w:pPr>
              <w:pStyle w:val="Normal"/>
              <w:widowControl/>
              <w:bidi w:val="0"/>
              <w:spacing w:lineRule="auto" w:line="288" w:before="0" w:after="40"/>
              <w:jc w:val="start"/>
              <w:rPr/>
            </w:pPr>
            <w:r>
              <w:rPr>
                <w:rFonts w:eastAsia="Mendl Sans Dusk Medium" w:cs="Mendl Sans Dusk Medium"/>
                <w:b/>
                <w:color w:val="FFFFFF"/>
                <w:sz w:val="17"/>
              </w:rPr>
              <w:t>Control Role</w:t>
            </w:r>
          </w:p>
        </w:tc>
        <w:tc>
          <w:tcPr>
            <w:tcW w:w="4939" w:type="dxa"/>
            <w:tcBorders/>
            <w:shd w:fill="386851" w:val="clear"/>
            <w:vAlign w:val="center"/>
          </w:tcPr>
          <w:p>
            <w:pPr>
              <w:pStyle w:val="Normal"/>
              <w:widowControl/>
              <w:bidi w:val="0"/>
              <w:spacing w:lineRule="auto" w:line="288" w:before="0" w:after="40"/>
              <w:jc w:val="start"/>
              <w:rPr/>
            </w:pPr>
            <w:r>
              <w:rPr>
                <w:rFonts w:eastAsia="Mendl Sans Dusk Medium" w:cs="Mendl Sans Dusk Medium"/>
                <w:b/>
                <w:color w:val="FFFFFF"/>
                <w:sz w:val="17"/>
              </w:rPr>
              <w:t>Assigned</w:t>
            </w:r>
          </w:p>
        </w:tc>
      </w:tr>
      <w:tr>
        <w:trPr/>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Author / Chief Editor</w:t>
            </w:r>
          </w:p>
        </w:tc>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Matt Ramsey</w:t>
            </w:r>
          </w:p>
        </w:tc>
      </w:tr>
      <w:tr>
        <w:trPr/>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Co-Editor</w:t>
            </w:r>
          </w:p>
        </w:tc>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Todd Shoeff</w:t>
            </w:r>
          </w:p>
        </w:tc>
      </w:tr>
      <w:tr>
        <w:trPr/>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Final Approver</w:t>
            </w:r>
          </w:p>
        </w:tc>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Jeremy Thamert</w:t>
            </w:r>
          </w:p>
        </w:tc>
      </w:tr>
      <w:tr>
        <w:trPr/>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Lifecycle</w:t>
            </w:r>
          </w:p>
        </w:tc>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Draft</w:t>
            </w:r>
          </w:p>
        </w:tc>
      </w:tr>
      <w:tr>
        <w:trPr/>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Effective Date</w:t>
            </w:r>
          </w:p>
        </w:tc>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Pending Approval</w:t>
            </w:r>
          </w:p>
        </w:tc>
      </w:tr>
    </w:tbl>
    <w:p>
      <w:pPr>
        <w:pStyle w:val="Heading1"/>
        <w:rPr/>
      </w:pPr>
      <w:r>
        <w:rPr/>
        <w:t>Purpose</w:t>
      </w:r>
    </w:p>
    <w:p>
      <w:pPr>
        <w:pStyle w:val="Normal"/>
        <w:rPr/>
      </w:pPr>
      <w:r>
        <w:rPr/>
        <w:t>Govern the in-house BidPilot portal as the live system of action for Sales, Estimating, and Preconstruction.</w:t>
      </w:r>
    </w:p>
    <w:p>
      <w:pPr>
        <w:pStyle w:val="Heading1"/>
        <w:rPr/>
      </w:pPr>
      <w:r>
        <w:rPr/>
        <w:t>1. Ownership and systems</w:t>
      </w:r>
    </w:p>
    <w:p>
      <w:pPr>
        <w:pStyle w:val="Normal"/>
        <w:rPr/>
      </w:pPr>
      <w:r>
        <w:rPr/>
        <w:t>CHNAV is functional owner. IT administers the system. CHENG reviews brand, safety, stakeholder, website, and public-claim impacts. COO approves production releases and CEO approves material estimating, margin, contract, risk, and approval-threshold changes. The in-house server is the approved archive; Sage 100 remains financial authority; Procore begins after approved preconstruction or award.</w:t>
      </w:r>
      <w:r>
        <w:br w:type="page"/>
      </w:r>
    </w:p>
    <w:p>
      <w:pPr>
        <w:pStyle w:val="Heading1"/>
        <w:keepNext w:val="true"/>
        <w:spacing w:before="0" w:after="160"/>
        <w:rPr/>
      </w:pPr>
      <w:r>
        <w:rPr/>
        <w:t>2. Stage-gate workflow</w:t>
      </w:r>
    </w:p>
    <w:tbl>
      <w:tblPr>
        <w:tblW w:w="9878"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4939"/>
        <w:gridCol w:w="4939"/>
      </w:tblGrid>
      <w:tr>
        <w:trPr/>
        <w:tc>
          <w:tcPr>
            <w:tcW w:w="4939" w:type="dxa"/>
            <w:tcBorders/>
            <w:shd w:fill="386851" w:val="clear"/>
            <w:vAlign w:val="center"/>
          </w:tcPr>
          <w:p>
            <w:pPr>
              <w:pStyle w:val="Normal"/>
              <w:widowControl/>
              <w:bidi w:val="0"/>
              <w:spacing w:lineRule="auto" w:line="288" w:before="0" w:after="40"/>
              <w:jc w:val="start"/>
              <w:rPr/>
            </w:pPr>
            <w:r>
              <w:rPr>
                <w:rFonts w:eastAsia="Mendl Sans Dusk Medium" w:cs="Mendl Sans Dusk Medium"/>
                <w:b/>
                <w:color w:val="FFFFFF"/>
                <w:sz w:val="17"/>
              </w:rPr>
              <w:t>Stage</w:t>
            </w:r>
          </w:p>
        </w:tc>
        <w:tc>
          <w:tcPr>
            <w:tcW w:w="4939" w:type="dxa"/>
            <w:tcBorders/>
            <w:shd w:fill="386851" w:val="clear"/>
            <w:vAlign w:val="center"/>
          </w:tcPr>
          <w:p>
            <w:pPr>
              <w:pStyle w:val="Normal"/>
              <w:widowControl/>
              <w:bidi w:val="0"/>
              <w:spacing w:lineRule="auto" w:line="288" w:before="0" w:after="40"/>
              <w:jc w:val="start"/>
              <w:rPr/>
            </w:pPr>
            <w:r>
              <w:rPr>
                <w:rFonts w:eastAsia="Mendl Sans Dusk Medium" w:cs="Mendl Sans Dusk Medium"/>
                <w:b/>
                <w:color w:val="FFFFFF"/>
                <w:sz w:val="17"/>
              </w:rPr>
              <w:t>Required result</w:t>
            </w:r>
          </w:p>
        </w:tc>
      </w:tr>
      <w:tr>
        <w:trPr/>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1</w:t>
            </w:r>
          </w:p>
        </w:tc>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Lead identified</w:t>
            </w:r>
          </w:p>
        </w:tc>
      </w:tr>
      <w:tr>
        <w:trPr/>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2</w:t>
            </w:r>
          </w:p>
        </w:tc>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Opportunity qualified</w:t>
            </w:r>
          </w:p>
        </w:tc>
      </w:tr>
      <w:tr>
        <w:trPr/>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3</w:t>
            </w:r>
          </w:p>
        </w:tc>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Go / no-go approved</w:t>
            </w:r>
          </w:p>
        </w:tc>
      </w:tr>
      <w:tr>
        <w:trPr/>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4</w:t>
            </w:r>
          </w:p>
        </w:tc>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Stakeholder and site intelligence complete</w:t>
            </w:r>
          </w:p>
        </w:tc>
      </w:tr>
      <w:tr>
        <w:trPr/>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5</w:t>
            </w:r>
          </w:p>
        </w:tc>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Estimate initiated</w:t>
            </w:r>
          </w:p>
        </w:tc>
      </w:tr>
      <w:tr>
        <w:trPr/>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6</w:t>
            </w:r>
          </w:p>
        </w:tc>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Takeoff, pricing, and subcontractor coverage complete</w:t>
            </w:r>
          </w:p>
        </w:tc>
      </w:tr>
      <w:tr>
        <w:trPr/>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7</w:t>
            </w:r>
          </w:p>
        </w:tc>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Risk, constructability, schedule, and preliminary SSSP review complete</w:t>
            </w:r>
          </w:p>
        </w:tc>
      </w:tr>
      <w:tr>
        <w:trPr/>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8</w:t>
            </w:r>
          </w:p>
        </w:tc>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Executive review complete</w:t>
            </w:r>
          </w:p>
        </w:tc>
      </w:tr>
      <w:tr>
        <w:trPr/>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9</w:t>
            </w:r>
          </w:p>
        </w:tc>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Proposal submitted</w:t>
            </w:r>
          </w:p>
        </w:tc>
      </w:tr>
      <w:tr>
        <w:trPr/>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10</w:t>
            </w:r>
          </w:p>
        </w:tc>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Clarifications and negotiation controlled</w:t>
            </w:r>
          </w:p>
        </w:tc>
      </w:tr>
      <w:tr>
        <w:trPr/>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11</w:t>
            </w:r>
          </w:p>
        </w:tc>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Award or loss recorded</w:t>
            </w:r>
          </w:p>
        </w:tc>
      </w:tr>
      <w:tr>
        <w:trPr/>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12</w:t>
            </w:r>
          </w:p>
        </w:tc>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Estimating-to-Operations handoff accepted</w:t>
            </w:r>
          </w:p>
        </w:tc>
      </w:tr>
      <w:tr>
        <w:trPr/>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13</w:t>
            </w:r>
          </w:p>
        </w:tc>
        <w:tc>
          <w:tcPr>
            <w:tcW w:w="4939" w:type="dxa"/>
            <w:tcBorders/>
            <w:vAlign w:val="center"/>
          </w:tcPr>
          <w:p>
            <w:pPr>
              <w:pStyle w:val="Normal"/>
              <w:widowControl/>
              <w:bidi w:val="0"/>
              <w:spacing w:lineRule="auto" w:line="288" w:before="0" w:after="40"/>
              <w:jc w:val="start"/>
              <w:rPr/>
            </w:pPr>
            <w:r>
              <w:rPr>
                <w:rFonts w:eastAsia="Mendl Sans Dusk Regular" w:cs="Mendl Sans Dusk Regular"/>
                <w:b w:val="false"/>
                <w:color w:val="202723"/>
                <w:sz w:val="17"/>
              </w:rPr>
              <w:t>Archive and lessons learned complete</w:t>
            </w:r>
          </w:p>
        </w:tc>
      </w:tr>
    </w:tbl>
    <w:p>
      <w:pPr>
        <w:pStyle w:val="Heading1"/>
        <w:keepNext w:val="true"/>
        <w:rPr/>
      </w:pPr>
      <w:r>
        <w:br w:type="page"/>
      </w:r>
      <w:r>
        <w:rPr/>
        <w:t>3. Department separation</w:t>
      </w:r>
    </w:p>
    <w:p>
      <w:pPr>
        <w:pStyle w:val="Normal"/>
        <w:rPr/>
      </w:pPr>
      <w:r>
        <w:rPr/>
        <w:t>Sales owns stakeholder hunting, relationship history, client intelligence, and opportunity development. Estimating owns takeoff, pricing, subcontractor coverage, scope leveling, assumptions, exclusions, alternates, and estimate integrity. Neither department may alter the other department's controlled commitments without CHNAV coordination.</w:t>
      </w:r>
      <w:r>
        <w:br w:type="page"/>
      </w:r>
    </w:p>
    <w:p>
      <w:pPr>
        <w:pStyle w:val="Heading1"/>
        <w:keepNext w:val="true"/>
        <w:spacing w:before="0" w:after="160"/>
        <w:rPr/>
      </w:pPr>
      <w:r>
        <w:rPr/>
        <w:t>4. Submission controls</w:t>
      </w:r>
    </w:p>
    <w:p>
      <w:pPr>
        <w:pStyle w:val="Normal"/>
        <w:rPr/>
      </w:pPr>
      <w:r>
        <w:rPr/>
        <w:t>BidPilot blocks submission until scope, pricing, schedule, safety, bonding, insurance, contract, and approval gates are complete. Minor administrative exceptions may be approved by CHNAV; material exposure requires COO approval and enterprise risk requires CEO approval.</w:t>
      </w:r>
      <w:r>
        <w:br w:type="page"/>
      </w:r>
    </w:p>
    <w:p>
      <w:pPr>
        <w:pStyle w:val="Heading1"/>
        <w:keepNext w:val="true"/>
        <w:spacing w:before="0" w:after="160"/>
        <w:rPr/>
      </w:pPr>
      <w:r>
        <w:rPr/>
        <w:t>5. Handoff</w:t>
      </w:r>
    </w:p>
    <w:p>
      <w:pPr>
        <w:pStyle w:val="Normal"/>
        <w:widowControl/>
        <w:bidi w:val="0"/>
        <w:spacing w:lineRule="auto" w:line="288" w:before="0" w:after="120"/>
        <w:jc w:val="start"/>
        <w:rPr/>
      </w:pPr>
      <w:r>
        <w:rPr/>
        <w:t>CHNAV owns both Sales-to-Estimating and Estimating-to-Operations handoffs and remains accountable until COO accepts the operational transfer.</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181" w:right="1181" w:gutter="0" w:header="432" w:top="1123" w:footer="432" w:bottom="103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swiss"/>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Mendl Sans Dusk Medium">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6</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1</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6</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Fonts w:eastAsia="Mendl Sans Dusk Medium" w:cs="Mendl Sans Dusk Medium" w:ascii="Mendl Sans Dusk Medium" w:hAnsi="Mendl Sans Dusk Medium"/>
        <w:b/>
        <w:color w:val="356B52"/>
        <w:sz w:val="14"/>
      </w:rPr>
      <w:t>MH Construction, INC | CONTROLLED ECOSYSTEM | MHC-GC.COM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40" w:before="0" w:after="90"/>
      <w:jc w:val="start"/>
    </w:pPr>
    <w:rPr>
      <w:rFonts w:ascii="Arial" w:hAnsi="Arial" w:eastAsia="Arial" w:cs=""/>
      <w:color w:val="000000"/>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160"/>
      <w:outlineLvl w:val="0"/>
    </w:pPr>
    <w:rPr>
      <w:rFonts w:ascii="Calibri" w:hAnsi="Calibri" w:eastAsia="" w:cs="" w:asciiTheme="majorHAnsi" w:cstheme="majorBidi" w:eastAsiaTheme="majorEastAsia" w:hAnsiTheme="majorHAnsi"/>
      <w:b/>
      <w:bCs/>
      <w:color w:val="386851"/>
      <w:sz w:val="36"/>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 w:cs="" w:asciiTheme="majorHAnsi" w:cstheme="majorBidi" w:eastAsiaTheme="majorEastAsia" w:hAnsiTheme="majorHAnsi"/>
      <w:b/>
      <w:bCs/>
      <w:color w:val="386851"/>
      <w:sz w:val="30"/>
      <w:szCs w:val="26"/>
    </w:rPr>
  </w:style>
  <w:style w:type="paragraph" w:styleId="Heading3">
    <w:name w:val="heading 3"/>
    <w:basedOn w:val="Normal"/>
    <w:next w:val="Normal"/>
    <w:link w:val="Heading3Char"/>
    <w:uiPriority w:val="9"/>
    <w:unhideWhenUsed/>
    <w:qFormat/>
    <w:rsid w:val="00fc693f"/>
    <w:pPr>
      <w:keepNext w:val="true"/>
      <w:keepLines/>
      <w:spacing w:before="180" w:after="80"/>
      <w:outlineLvl w:val="2"/>
    </w:pPr>
    <w:rPr>
      <w:rFonts w:ascii="Calibri" w:hAnsi="Calibri" w:eastAsia="" w:cs="" w:asciiTheme="majorHAnsi" w:cstheme="majorBidi" w:eastAsiaTheme="majorEastAsia" w:hAnsiTheme="majorHAnsi"/>
      <w:b/>
      <w:bCs/>
      <w:color w:val="BD9264"/>
      <w:sz w:val="23"/>
    </w:rPr>
  </w:style>
  <w:style w:type="paragraph" w:styleId="Heading4">
    <w:name w:val="heading 4"/>
    <w:basedOn w:val="Normal"/>
    <w:next w:val="Normal"/>
    <w:link w:val="Heading4Char"/>
    <w:uiPriority w:val="9"/>
    <w:semiHidden/>
    <w:unhideWhenUsed/>
    <w:qFormat/>
    <w:rsid w:val="00fc693f"/>
    <w:pPr>
      <w:keepNext w:val="true"/>
      <w:keepLines/>
      <w:spacing w:before="120" w:after="60"/>
      <w:outlineLvl w:val="3"/>
    </w:pPr>
    <w:rPr>
      <w:rFonts w:ascii="Calibri" w:hAnsi="Calibri" w:eastAsia="" w:cs="" w:asciiTheme="majorHAnsi" w:cstheme="majorBidi" w:eastAsiaTheme="majorEastAsia" w:hAnsiTheme="majorHAnsi"/>
      <w:b/>
      <w:bCs/>
      <w:i/>
      <w:iCs/>
      <w:color w:val="386851"/>
      <w:sz w:val="20"/>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240"/>
      <w:contextualSpacing/>
    </w:pPr>
    <w:rPr>
      <w:rFonts w:ascii="Calibri" w:hAnsi="Calibri" w:eastAsia="" w:cs="" w:asciiTheme="majorHAnsi" w:cstheme="majorBidi" w:eastAsiaTheme="majorEastAsia" w:hAnsiTheme="majorHAnsi"/>
      <w:b/>
      <w:color w:val="386851"/>
      <w:spacing w:val="5"/>
      <w:kern w:val="2"/>
      <w:sz w:val="50"/>
      <w:szCs w:val="52"/>
    </w:rPr>
  </w:style>
  <w:style w:type="paragraph" w:styleId="Subtitle">
    <w:name w:val="Subtitle"/>
    <w:basedOn w:val="Normal"/>
    <w:next w:val="Normal"/>
    <w:link w:val="SubtitleChar"/>
    <w:uiPriority w:val="11"/>
    <w:qFormat/>
    <w:rsid w:val="00fc693f"/>
    <w:pPr>
      <w:keepNext w:val="true"/>
      <w:spacing w:before="0" w:after="160"/>
    </w:pPr>
    <w:rPr>
      <w:rFonts w:ascii="Calibri" w:hAnsi="Calibri" w:eastAsia="" w:cs="" w:asciiTheme="majorHAnsi" w:cstheme="majorBidi" w:eastAsiaTheme="majorEastAsia" w:hAnsiTheme="majorHAnsi"/>
      <w:b/>
      <w:i/>
      <w:iCs/>
      <w:color w:val="BD9264"/>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8" Type="http://schemas.openxmlformats.org/officeDocument/2006/relationships/footer" Target="footer3.xml"/><Relationship Id="rId13" Type="http://schemas.openxmlformats.org/officeDocument/2006/relationships/customXml" Target="../customXml/item1.xml"/><Relationship Id="rId3" Type="http://schemas.openxmlformats.org/officeDocument/2006/relationships/header" Target="header1.xml"/><Relationship Id="rId7" Type="http://schemas.openxmlformats.org/officeDocument/2006/relationships/footer" Target="footer2.xml"/><Relationship Id="rId12" Type="http://schemas.openxmlformats.org/officeDocument/2006/relationships/theme" Target="theme/theme1.xml"/><Relationship Id="rId2" Type="http://schemas.openxmlformats.org/officeDocument/2006/relationships/image" Target="media/image1.png"/><Relationship Id="rId16" Type="http://schemas.openxmlformats.org/officeDocument/2006/relationships/customXml" Target="../customXml/item4.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settings" Target="settings.xml"/><Relationship Id="rId5" Type="http://schemas.openxmlformats.org/officeDocument/2006/relationships/header" Target="header3.xml"/><Relationship Id="rId15" Type="http://schemas.openxmlformats.org/officeDocument/2006/relationships/customXml" Target="../customXml/item3.xml"/><Relationship Id="rId10" Type="http://schemas.openxmlformats.org/officeDocument/2006/relationships/fontTable" Target="fontTable.xml"/><Relationship Id="rId4" Type="http://schemas.openxmlformats.org/officeDocument/2006/relationships/header" Target="header2.xml"/><Relationship Id="rId9" Type="http://schemas.openxmlformats.org/officeDocument/2006/relationships/numbering" Target="numbering.xml"/><Relationship Id="rId14" Type="http://schemas.openxmlformats.org/officeDocument/2006/relationships/customXml" Target="../customXml/item2.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9D2A929-35B6-4005-85A9-51736F0CC0FF}"/>
</file>

<file path=customXml/itemProps3.xml><?xml version="1.0" encoding="utf-8"?>
<ds:datastoreItem xmlns:ds="http://schemas.openxmlformats.org/officeDocument/2006/customXml" ds:itemID="{5A2E43F2-7F8A-4F38-9DD1-BD204F2F0959}"/>
</file>

<file path=customXml/itemProps4.xml><?xml version="1.0" encoding="utf-8"?>
<ds:datastoreItem xmlns:ds="http://schemas.openxmlformats.org/officeDocument/2006/customXml" ds:itemID="{38961E31-D07B-4DD8-82E8-AEBD2D1651AD}"/>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6</Pages>
  <Words>367</Words>
  <Characters>2417</Characters>
  <CharactersWithSpaces>2722</CharactersWithSpaces>
  <Paragraphs>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MH Bidpilot Sales Estimating Preconstruction Standard</dc:title>
  <dc:subject>MH Ecosystem Version 1.0 Draft</dc:subject>
  <dc:creator>Matt Ramsey</dc:creator>
  <dc:description>Controlled Rough Draft. Not approved for operational use.</dc:description>
  <cp:lastModifiedBy/>
  <cp:revision>7</cp:revision>
  <dcterms:created xsi:type="dcterms:W3CDTF">2013-12-23T23:15:00Z</dcterms:created>
  <dcterms:modified xsi:type="dcterms:W3CDTF">2026-08-05T19:38:54Z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