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Override PartName="/customXml/itemProps4.xml" ContentType="application/vnd.openxmlformats-officedocument.customXml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W w:w="9878" w:type="dxa"/>
        <w:jc w:val="start"/>
        <w:tblInd w:w="108" w:type="dxa"/>
        <w:tblLayout w:type="fixed"/>
        <w:tblCellMar>
          <w:top w:w="0" w:type="dxa"/>
          <w:start w:w="108" w:type="dxa"/>
          <w:bottom w:w="0" w:type="dxa"/>
          <w:end w:w="108" w:type="dxa"/>
        </w:tblCellMar>
        <w:tblLook w:val="04a0" w:firstRow="1" w:noVBand="1" w:lastRow="0" w:firstColumn="1" w:lastColumn="0" w:noHBand="0"/>
      </w:tblPr>
      <w:tblGrid>
        <w:gridCol w:w="9878"/>
      </w:tblGrid>
      <w:tr>
        <w:trPr>
          <w:trHeight w:val="12200" w:hRule="atLeast"/>
        </w:trPr>
        <w:tc>
          <w:tcPr>
            <w:tcW w:w="9878" w:type="dxa"/>
            <w:tcBorders/>
            <w:shd w:fill="FFFFFF" w:val="clear"/>
            <w:vAlign w:val="center"/>
          </w:tcPr>
          <w:p>
            <w:pPr>
              <w:pStyle w:val="Normal"/>
              <w:widowControl/>
              <w:spacing w:before="0" w:after="40"/>
              <w:jc w:val="center"/>
              <w:rPr/>
            </w:pPr>
            <w:r>
              <w:rPr/>
              <w:drawing>
                <wp:inline distT="0" distB="0" distL="0" distR="0">
                  <wp:extent cx="2148840" cy="1224915"/>
                  <wp:effectExtent l="0" t="0" r="0" b="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noChangeArrowheads="1"/>
                          </pic:cNvPicPr>
                        </pic:nvPicPr>
                        <pic:blipFill>
                          <a:blip r:embed="rId2"/>
                          <a:stretch>
                            <a:fillRect/>
                          </a:stretch>
                        </pic:blipFill>
                        <pic:spPr bwMode="auto">
                          <a:xfrm>
                            <a:off x="0" y="0"/>
                            <a:ext cx="2148840" cy="1224915"/>
                          </a:xfrm>
                          <a:prstGeom prst="rect">
                            <a:avLst/>
                          </a:prstGeom>
                          <a:noFill/>
                        </pic:spPr>
                      </pic:pic>
                    </a:graphicData>
                  </a:graphic>
                </wp:inline>
              </w:drawing>
            </w:r>
          </w:p>
          <w:p>
            <w:pPr>
              <w:pStyle w:val="Normal"/>
              <w:widowControl/>
              <w:spacing w:before="0" w:after="40"/>
              <w:jc w:val="start"/>
              <w:rPr/>
            </w:pPr>
            <w:r>
              <w:rPr>
                <w:rFonts w:eastAsia="Mendl Sans Dusk Regular" w:cs="Mendl Sans Dusk Regular"/>
                <w:b/>
                <w:color w:val="BD9264"/>
                <w:sz w:val="18"/>
              </w:rPr>
              <w:t>CONTROLLED ENTERPRISE DOCUMENT</w:t>
            </w:r>
          </w:p>
          <w:p>
            <w:pPr>
              <w:pStyle w:val="Normal"/>
              <w:widowControl/>
              <w:spacing w:before="0" w:after="40"/>
              <w:jc w:val="start"/>
              <w:rPr/>
            </w:pPr>
            <w:r>
              <w:rPr>
                <w:rFonts w:eastAsia="Mendl Sans Dusk Bold" w:cs="Mendl Sans Dusk Bold"/>
                <w:b/>
                <w:color w:val="386851"/>
                <w:sz w:val="48"/>
              </w:rPr>
              <w:t>MH Marketing Strategy Guide</w:t>
            </w:r>
          </w:p>
          <w:p>
            <w:pPr>
              <w:pStyle w:val="Normal"/>
              <w:widowControl/>
              <w:spacing w:before="0" w:after="40"/>
              <w:jc w:val="start"/>
              <w:rPr/>
            </w:pPr>
            <w:r>
              <w:rPr>
                <w:rFonts w:eastAsia="Mendl Sans Dusk Regular" w:cs="Mendl Sans Dusk Regular"/>
                <w:b w:val="false"/>
                <w:color w:val="386851"/>
                <w:sz w:val="20"/>
              </w:rPr>
              <w:t>MH Construction, INC Enterprise Management System</w:t>
            </w:r>
          </w:p>
          <w:p>
            <w:pPr>
              <w:pStyle w:val="Normal"/>
              <w:widowControl/>
              <w:spacing w:before="0" w:after="40"/>
              <w:jc w:val="start"/>
              <w:rPr/>
            </w:pPr>
            <w:r>
              <w:rPr>
                <w:rFonts w:eastAsia="Mendl Sans Dusk Regular" w:cs="Mendl Sans Dusk Regular"/>
                <w:b w:val="false"/>
                <w:color w:val="434343"/>
                <w:sz w:val="18"/>
              </w:rPr>
              <w:t>Document family: STRATEGY AND BUSINESS DEVELOPMENT</w:t>
              <w:br/>
              <w:t>Document title: MH Marketing Strategy Guide</w:t>
              <w:br/>
              <w:t>Version: 1.0 | Lifecycle: Rough Draft</w:t>
            </w:r>
          </w:p>
          <w:p>
            <w:pPr>
              <w:pStyle w:val="Normal"/>
              <w:widowControl/>
              <w:pBdr>
                <w:bottom w:val="single" w:sz="6" w:space="7" w:color="BD9264"/>
              </w:pBdr>
              <w:spacing w:before="120" w:after="40"/>
              <w:rPr/>
            </w:pPr>
            <w:r>
              <w:rPr>
                <w:rFonts w:eastAsia="Mendl Sans Dusk Regular" w:cs="Mendl Sans Dusk Regular"/>
                <w:b w:val="false"/>
                <w:color w:val="434343"/>
                <w:sz w:val="16"/>
              </w:rPr>
              <w:t>Use only after required functional, technical, field-usability, and approval gates are complete.</w:t>
            </w:r>
          </w:p>
        </w:tc>
      </w:tr>
    </w:tbl>
    <w:p>
      <w:pPr>
        <w:pStyle w:val="Normal"/>
        <w:widowControl/>
        <w:rPr/>
      </w:pPr>
      <w:r>
        <w:rPr/>
      </w:r>
      <w:r>
        <w:br w:type="page"/>
      </w:r>
    </w:p>
    <w:p>
      <w:pPr>
        <w:pStyle w:val="Normal"/>
        <w:spacing w:before="0" w:after="120"/>
        <w:rPr/>
      </w:pPr>
      <w:r>
        <w:rPr/>
        <w:t>Control: Version 1.0 | Status Rough Draft | Author and Chief Editor: Matt Ramsey | Co-Editor: Todd Shoeff | Final Approver: Jeremy Thamert</w:t>
      </w:r>
    </w:p>
    <w:p>
      <w:pPr>
        <w:pStyle w:val="Normal"/>
        <w:widowControl/>
        <w:spacing w:before="560" w:after="360"/>
        <w:rPr/>
      </w:pPr>
      <w:r>
        <w:rPr/>
        <w:drawing>
          <wp:inline distT="0" distB="0" distL="0" distR="0">
            <wp:extent cx="2331720" cy="1329055"/>
            <wp:effectExtent l="0" t="0" r="0" b="0"/>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noChangeArrowheads="1"/>
                    </pic:cNvPicPr>
                  </pic:nvPicPr>
                  <pic:blipFill>
                    <a:blip r:embed="rId3"/>
                    <a:stretch>
                      <a:fillRect/>
                    </a:stretch>
                  </pic:blipFill>
                  <pic:spPr bwMode="auto">
                    <a:xfrm>
                      <a:off x="0" y="0"/>
                      <a:ext cx="2331720" cy="1329055"/>
                    </a:xfrm>
                    <a:prstGeom prst="rect">
                      <a:avLst/>
                    </a:prstGeom>
                    <a:noFill/>
                  </pic:spPr>
                </pic:pic>
              </a:graphicData>
            </a:graphic>
          </wp:inline>
        </w:drawing>
      </w:r>
    </w:p>
    <w:p>
      <w:pPr>
        <w:pStyle w:val="Title"/>
        <w:widowControl/>
        <w:spacing w:before="160" w:after="200"/>
        <w:contextualSpacing/>
        <w:rPr/>
      </w:pPr>
      <w:r>
        <w:rPr>
          <w:rFonts w:eastAsia="Mendl Sans Dusk Bold" w:cs="Mendl Sans Dusk Bold" w:ascii="Mendl Sans Dusk Bold" w:hAnsi="Mendl Sans Dusk Bold"/>
          <w:b/>
          <w:color w:val="386851"/>
          <w:sz w:val="54"/>
        </w:rPr>
        <w:t>MH Construction, INC Marketing and Brand Guide</w:t>
      </w:r>
    </w:p>
    <w:p>
      <w:pPr>
        <w:pStyle w:val="Heading2"/>
        <w:widowControl/>
        <w:rPr/>
      </w:pPr>
      <w:r>
        <w:rPr>
          <w:rFonts w:eastAsia="Mendl Sans Dusk Medium" w:cs="Mendl Sans Dusk Medium" w:ascii="Mendl Sans Dusk Medium" w:hAnsi="Mendl Sans Dusk Medium"/>
          <w:b/>
          <w:color w:val="628F79"/>
          <w:sz w:val="26"/>
        </w:rPr>
        <w:t>Brand authority, market strategy, proof and lead stewardship</w:t>
      </w:r>
    </w:p>
    <w:p>
      <w:pPr>
        <w:pStyle w:val="Normal"/>
        <w:widowControl/>
        <w:rPr/>
      </w:pPr>
      <w:r>
        <w:rPr>
          <w:rFonts w:eastAsia="Mendl Sans Dusk Regular" w:cs="Mendl Sans Dusk Regular"/>
          <w:b/>
          <w:color w:val="202723"/>
          <w:sz w:val="21"/>
        </w:rPr>
        <w:t>Document ID: MKT-001 Version: 1.0 Owner: CHENG Approver: Jeremy Thamert, Owner/CEO Status: Rough Draft - requires Marketing and executive review Classification: Internal - controlled Effective date: Pending approval Review cycle: Annual and upon material change</w:t>
      </w:r>
    </w:p>
    <w:tbl>
      <w:tblPr>
        <w:tblW w:w="9360" w:type="dxa"/>
        <w:jc w:val="start"/>
        <w:tblInd w:w="180" w:type="dxa"/>
        <w:tblLayout w:type="fixed"/>
        <w:tblCellMar>
          <w:top w:w="140" w:type="dxa"/>
          <w:start w:w="180" w:type="dxa"/>
          <w:bottom w:w="140" w:type="dxa"/>
          <w:end w:w="180" w:type="dxa"/>
        </w:tblCellMar>
        <w:tblLook w:val="04a0" w:firstRow="1" w:noVBand="1" w:lastRow="0" w:firstColumn="1" w:lastColumn="0" w:noHBand="0"/>
      </w:tblPr>
      <w:tblGrid>
        <w:gridCol w:w="9360"/>
      </w:tblGrid>
      <w:tr>
        <w:trPr/>
        <w:tc>
          <w:tcPr>
            <w:tcW w:w="9360" w:type="dxa"/>
            <w:tcBorders/>
            <w:shd w:fill="386851" w:val="clear"/>
            <w:vAlign w:val="center"/>
          </w:tcPr>
          <w:p>
            <w:pPr>
              <w:pStyle w:val="Normal"/>
              <w:widowControl/>
              <w:spacing w:before="0" w:after="40"/>
              <w:rPr/>
            </w:pPr>
            <w:r>
              <w:rPr>
                <w:rFonts w:eastAsia="Mendl Sans Dusk Regular" w:cs="Mendl Sans Dusk Regular"/>
                <w:b/>
                <w:color w:val="FFFFFF"/>
                <w:sz w:val="17"/>
              </w:rPr>
              <w:t>This manual is an authoritative component of the MH Construction, INC Enterprise Management System. Employees follow this manual together with executed contracts, project-specific plans, jurisdiction addenda, manufacturer instructions and engineered requirements. Conflicts are stopped and escalated through the stated command path before work continues.</w:t>
            </w:r>
          </w:p>
        </w:tc>
      </w:tr>
    </w:tbl>
    <w:p>
      <w:pPr>
        <w:pStyle w:val="Normal"/>
        <w:widowControl/>
        <w:spacing w:before="0" w:after="20"/>
        <w:rPr/>
      </w:pPr>
      <w:r>
        <w:rPr/>
      </w:r>
    </w:p>
    <w:p>
      <w:pPr>
        <w:pStyle w:val="Normal"/>
        <w:widowControl/>
        <w:rPr/>
      </w:pPr>
      <w:r>
        <w:rPr/>
      </w:r>
      <w:r>
        <w:br w:type="page"/>
      </w:r>
    </w:p>
    <w:p>
      <w:pPr>
        <w:pStyle w:val="Heading2"/>
        <w:widowControl/>
        <w:spacing w:before="0" w:after="120"/>
        <w:rPr/>
      </w:pPr>
      <w:r>
        <w:rPr>
          <w:rFonts w:eastAsia="Mendl Sans Dusk Medium" w:cs="Mendl Sans Dusk Medium" w:ascii="Mendl Sans Dusk Medium" w:hAnsi="Mendl Sans Dusk Medium"/>
          <w:b/>
          <w:color w:val="628F79"/>
          <w:sz w:val="26"/>
        </w:rPr>
        <w:t>Brand and marketing controls</w:t>
      </w:r>
    </w:p>
    <w:p>
      <w:pPr>
        <w:pStyle w:val="Heading3"/>
        <w:widowControl/>
        <w:rPr/>
      </w:pPr>
      <w:r>
        <w:rPr>
          <w:rFonts w:eastAsia="Mendl Sans Dusk Medium" w:cs="Mendl Sans Dusk Medium" w:ascii="Mendl Sans Dusk Medium" w:hAnsi="Mendl Sans Dusk Medium"/>
          <w:b/>
          <w:color w:val="1E392C"/>
          <w:sz w:val="23"/>
        </w:rPr>
        <w:t>Combined guide authority</w:t>
      </w:r>
    </w:p>
    <w:p>
      <w:pPr>
        <w:pStyle w:val="Normal"/>
        <w:widowControl/>
        <w:rPr/>
      </w:pPr>
      <w:r>
        <w:rPr>
          <w:rFonts w:eastAsia="Mendl Sans Dusk Regular" w:cs="Mendl Sans Dusk Regular"/>
          <w:b w:val="false"/>
          <w:color w:val="202723"/>
          <w:sz w:val="21"/>
        </w:rPr>
        <w:t>This document is MH Construction, INC's combined Marketing Guide and Brand Standards Guide. It is the authority for company identity, marketing operations, public claims, campaigns and approved brand assets. Unregistered or superseded copies are not authoritative.</w:t>
      </w:r>
    </w:p>
    <w:p>
      <w:pPr>
        <w:pStyle w:val="Heading3"/>
        <w:widowControl/>
        <w:rPr/>
      </w:pPr>
      <w:r>
        <w:rPr>
          <w:rFonts w:eastAsia="Mendl Sans Dusk Medium" w:cs="Mendl Sans Dusk Medium" w:ascii="Mendl Sans Dusk Medium" w:hAnsi="Mendl Sans Dusk Medium"/>
          <w:b/>
          <w:color w:val="1E392C"/>
          <w:sz w:val="23"/>
        </w:rPr>
        <w:t>Approved visual system</w:t>
      </w:r>
    </w:p>
    <w:p>
      <w:pPr>
        <w:pStyle w:val="Normal"/>
        <w:widowControl/>
        <w:rPr/>
      </w:pPr>
      <w:r>
        <w:rPr>
          <w:rFonts w:eastAsia="Mendl Sans Dusk Regular" w:cs="Mendl Sans Dusk Regular"/>
          <w:b w:val="false"/>
          <w:color w:val="202723"/>
          <w:sz w:val="21"/>
        </w:rPr>
        <w:t>Headings use Mendl Sans Dusk Bold, subheadings use Mendl Sans Dusk Medium and body copy uses Mendl Sans Dusk Regular. The official 2026 style guide establishes Hunter Green #386851 and Leather Tan #BD9264 as the primary identity colors, with White #FFFFFF and Black #000000 as the neutral base. Sage #628F79, Warm Sand #D9BD93 and Charcoal #0F1412 are supporting interface colors only. The official MH Construction, INC logo is the source asset 0_mh-logo.png; only its controlled repository copy may be published. Maintain clear space around the mark, do not recolor or distort it, and use the dark-background variant only where it preserves contrast.</w:t>
      </w:r>
    </w:p>
    <w:p>
      <w:pPr>
        <w:pStyle w:val="Heading3"/>
        <w:widowControl/>
        <w:rPr/>
      </w:pPr>
      <w:r>
        <w:rPr>
          <w:rFonts w:eastAsia="Mendl Sans Dusk Medium" w:cs="Mendl Sans Dusk Medium" w:ascii="Mendl Sans Dusk Medium" w:hAnsi="Mendl Sans Dusk Medium"/>
          <w:b/>
          <w:color w:val="1E392C"/>
          <w:sz w:val="23"/>
        </w:rPr>
        <w:t>Website authority</w:t>
      </w:r>
    </w:p>
    <w:p>
      <w:pPr>
        <w:pStyle w:val="Normal"/>
        <w:widowControl/>
        <w:rPr/>
      </w:pPr>
      <w:r>
        <w:rPr>
          <w:rFonts w:eastAsia="Mendl Sans Dusk Regular" w:cs="Mendl Sans Dusk Regular"/>
          <w:b w:val="false"/>
          <w:color w:val="202723"/>
          <w:sz w:val="21"/>
        </w:rPr>
        <w:t>https://mhc-gc.com is the canonical public website. Public materials must use this exact domain, the approved website service descriptions, and approved contact channels. A landing page, social profile, QR code, advertisement, email signature or document footer may not direct users to an unapproved domain or an unpublished development environment.</w:t>
      </w:r>
    </w:p>
    <w:p>
      <w:pPr>
        <w:pStyle w:val="Heading3"/>
        <w:widowControl/>
        <w:rPr/>
      </w:pPr>
      <w:r>
        <w:rPr>
          <w:rFonts w:eastAsia="Mendl Sans Dusk Medium" w:cs="Mendl Sans Dusk Medium" w:ascii="Mendl Sans Dusk Medium" w:hAnsi="Mendl Sans Dusk Medium"/>
          <w:b/>
          <w:color w:val="1E392C"/>
          <w:sz w:val="23"/>
        </w:rPr>
        <w:t>Claims substantiation</w:t>
      </w:r>
    </w:p>
    <w:p>
      <w:pPr>
        <w:pStyle w:val="Normal"/>
        <w:widowControl/>
        <w:rPr/>
      </w:pPr>
      <w:r>
        <w:rPr>
          <w:rFonts w:eastAsia="Mendl Sans Dusk Regular" w:cs="Mendl Sans Dusk Regular"/>
          <w:b w:val="false"/>
          <w:color w:val="202723"/>
          <w:sz w:val="21"/>
        </w:rPr>
        <w:t>Claims about safety, certifications, licenses, project performance, bonding, capacity, veteran ownership or self-perform work require current evidence in the claim register. Every claim has an owner, source, review trigger, approved channels and approver.</w:t>
      </w:r>
    </w:p>
    <w:p>
      <w:pPr>
        <w:pStyle w:val="Heading3"/>
        <w:widowControl/>
        <w:rPr/>
      </w:pPr>
      <w:r>
        <w:rPr>
          <w:rFonts w:eastAsia="Mendl Sans Dusk Medium" w:cs="Mendl Sans Dusk Medium" w:ascii="Mendl Sans Dusk Medium" w:hAnsi="Mendl Sans Dusk Medium"/>
          <w:b/>
          <w:color w:val="1E392C"/>
          <w:sz w:val="23"/>
        </w:rPr>
        <w:t>Approval workflow</w:t>
      </w:r>
    </w:p>
    <w:p>
      <w:pPr>
        <w:pStyle w:val="Normal"/>
        <w:widowControl/>
        <w:rPr/>
      </w:pPr>
      <w:r>
        <w:rPr>
          <w:rFonts w:eastAsia="Mendl Sans Dusk Regular" w:cs="Mendl Sans Dusk Regular"/>
          <w:b w:val="false"/>
          <w:color w:val="202723"/>
          <w:sz w:val="21"/>
        </w:rPr>
        <w:t>Project facts are verified by the PM; client names/testimonials and photography follow documented consent; safety/regulatory language receives Safety review; legal or comparative claims receive qualified review; final publication approval follows the authority matrix.</w:t>
      </w:r>
    </w:p>
    <w:p>
      <w:pPr>
        <w:pStyle w:val="Normal"/>
        <w:widowControl/>
        <w:rPr/>
      </w:pPr>
      <w:r>
        <w:rPr/>
      </w:r>
      <w:r>
        <w:br w:type="page"/>
      </w:r>
    </w:p>
    <w:p>
      <w:pPr>
        <w:pStyle w:val="Heading2"/>
        <w:widowControl/>
        <w:spacing w:before="0" w:after="120"/>
        <w:rPr/>
      </w:pPr>
      <w:r>
        <w:rPr>
          <w:rFonts w:eastAsia="Mendl Sans Dusk Medium" w:cs="Mendl Sans Dusk Medium" w:ascii="Mendl Sans Dusk Medium" w:hAnsi="Mendl Sans Dusk Medium"/>
          <w:b/>
          <w:color w:val="628F79"/>
          <w:sz w:val="26"/>
        </w:rPr>
        <w:t>Operating procedures</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MG-01.0 | Canonical Strategy Sources</w:t>
      </w:r>
    </w:p>
    <w:p>
      <w:pPr>
        <w:pStyle w:val="Normal"/>
        <w:widowControl/>
        <w:rPr/>
      </w:pPr>
      <w:r>
        <w:rPr>
          <w:rFonts w:eastAsia="Mendl Sans Dusk Regular" w:cs="Mendl Sans Dusk Regular"/>
          <w:b w:val="false"/>
          <w:color w:val="202723"/>
          <w:sz w:val="21"/>
        </w:rPr>
        <w:t>The following sources govern all marketing decisions. When cadence, proof, lifecycle, or handoff rules change in the parameters directory, both the Marketing Strategy Guide and the Sales/Estimating Guide must be updated in the same change cycle.</w:t>
      </w:r>
    </w:p>
    <w:tbl>
      <w:tblPr>
        <w:tblStyle w:val="TableGrid"/>
        <w:tblW w:w="9879"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3293"/>
        <w:gridCol w:w="3293"/>
        <w:gridCol w:w="3293"/>
      </w:tblGrid>
      <w:tr>
        <w:trPr/>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Source</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What It Controls</w:t>
            </w:r>
          </w:p>
        </w:tc>
        <w:tc>
          <w:tcPr>
            <w:tcW w:w="3293"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Use It For</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Service Routes (website/src/lib/data)</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Canonical project marketing service summary</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Public service copy and route-level strategy framing</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Social Media Branding Parameters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Shared campaign parameters baseline for marketing and sales congruency</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Approved tone, cadence, proof rules, lifecycle naming, and content-length decisions</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Lifecycle Campaign Parameters</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Shared phase naming and timing baseline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Keeping project-phase language, slogans, and timing consistent across campaign planning and recap work</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Proof and Approval Parameters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Shared evidence and release baseline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Deciding what can be published, when to hold content, and how approval discipline is applied</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Google Business Profile Optimization Guide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GBP operating workflow and optimization discipline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Managing posting rhythm, profile upkeep, review handling, and local-search execution</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GBP Post Templates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Google Business Profile execution templates</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Applying approved local-post structure, service-area wording, and relationship-first GBP messaging</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Media Strategy &amp; Photo/Video Roadmap</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Photo/video roadmap and repurposing structure</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Asset planning, capture lists, and visual proof workflow</w:t>
            </w:r>
          </w:p>
        </w:tc>
      </w:tr>
      <w:tr>
        <w:trPr/>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Website Layout Enhancement Plan</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Original strategy planning source</w:t>
            </w:r>
          </w:p>
        </w:tc>
        <w:tc>
          <w:tcPr>
            <w:tcW w:w="3293"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Historical intent, layout assumptions, and narrative direction</w:t>
            </w:r>
          </w:p>
        </w:tc>
      </w:tr>
      <w:tr>
        <w:trPr/>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Flight</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Lead tracking, pipeline visibility, and follow-up automation</w:t>
            </w:r>
          </w:p>
        </w:tc>
        <w:tc>
          <w:tcPr>
            <w:tcW w:w="3293"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Logging inbound leads, tracking campaign attribution, and managing stakeholder follow-up sequences</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MG-02.0 | Core Doctrine and Operating Model</w:t>
      </w:r>
    </w:p>
    <w:p>
      <w:pPr>
        <w:pStyle w:val="Normal"/>
        <w:widowControl/>
        <w:rPr/>
      </w:pPr>
      <w:r>
        <w:rPr>
          <w:rFonts w:eastAsia="Mendl Sans Dusk Regular" w:cs="Mendl Sans Dusk Regular"/>
          <w:b w:val="false"/>
          <w:color w:val="202723"/>
          <w:sz w:val="21"/>
        </w:rPr>
        <w:t>Marketing at MH Construction, INC is not simply posting photos. It is a marketing operations system designed to support lead generation, protect stakeholder trust, and carry the project story from preconstruction through handoff. The operating model is grounded in the four-value professional foundation system:</w:t>
      </w:r>
    </w:p>
    <w:p>
      <w:pPr>
        <w:pStyle w:val="Normal"/>
        <w:widowControl/>
        <w:rPr/>
      </w:pPr>
      <w:r>
        <w:rPr>
          <w:rFonts w:eastAsia="Mendl Sans Dusk Regular" w:cs="Mendl Sans Dusk Regular"/>
          <w:b w:val="false"/>
          <w:color w:val="202723"/>
          <w:sz w:val="21"/>
        </w:rPr>
        <w:t>Honesty: communicate what is true, current, and approved.</w:t>
      </w:r>
    </w:p>
    <w:p>
      <w:pPr>
        <w:pStyle w:val="Normal"/>
        <w:widowControl/>
        <w:rPr/>
      </w:pPr>
      <w:r>
        <w:rPr>
          <w:rFonts w:eastAsia="Mendl Sans Dusk Regular" w:cs="Mendl Sans Dusk Regular"/>
          <w:b w:val="false"/>
          <w:color w:val="202723"/>
          <w:sz w:val="21"/>
        </w:rPr>
        <w:t>Integrity: do not manipulate outcomes, timelines, or completion status.</w:t>
      </w:r>
    </w:p>
    <w:p>
      <w:pPr>
        <w:pStyle w:val="Normal"/>
        <w:widowControl/>
        <w:rPr/>
      </w:pPr>
      <w:r>
        <w:rPr>
          <w:rFonts w:eastAsia="Mendl Sans Dusk Regular" w:cs="Mendl Sans Dusk Regular"/>
          <w:b w:val="false"/>
          <w:color w:val="202723"/>
          <w:sz w:val="21"/>
        </w:rPr>
        <w:t>Professionalism: present the project team, trade coordination, and Client Partner experience with discipline and respect.</w:t>
      </w:r>
    </w:p>
    <w:p>
      <w:pPr>
        <w:pStyle w:val="Normal"/>
        <w:widowControl/>
        <w:rPr/>
      </w:pPr>
      <w:r>
        <w:rPr>
          <w:rFonts w:eastAsia="Mendl Sans Dusk Regular" w:cs="Mendl Sans Dusk Regular"/>
          <w:b w:val="false"/>
          <w:color w:val="202723"/>
          <w:sz w:val="21"/>
        </w:rPr>
        <w:t>Thoroughness: capture the full project story from ground break through closeout and legacy content.</w:t>
      </w:r>
    </w:p>
    <w:p>
      <w:pPr>
        <w:pStyle w:val="Normal"/>
        <w:widowControl/>
        <w:rPr/>
      </w:pPr>
      <w:r>
        <w:rPr>
          <w:rFonts w:eastAsia="Mendl Sans Dusk Regular" w:cs="Mendl Sans Dusk Regular"/>
          <w:b w:val="false"/>
          <w:color w:val="202723"/>
          <w:sz w:val="21"/>
        </w:rPr>
        <w:t>These values build toward the MH end state: trust. Brand language must remain consistent with the approved MH primary slogan: "Built on Quality, Backed by Trust." Supporting copy should favor clear scope, accountable delivery, dependable follow-through, and relationship continuity over hype.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MG-03.0 | The Marketing Operations Stack</w:t>
      </w:r>
    </w:p>
    <w:p>
      <w:pPr>
        <w:pStyle w:val="Normal"/>
        <w:widowControl/>
        <w:rPr/>
      </w:pPr>
      <w:r>
        <w:rPr>
          <w:rFonts w:eastAsia="Mendl Sans Dusk Regular" w:cs="Mendl Sans Dusk Regular"/>
          <w:b w:val="false"/>
          <w:color w:val="202723"/>
          <w:sz w:val="21"/>
        </w:rPr>
        <w:t>The CHENG (Chief Engineer - website/dashboard developer and overseer) leads the Marketing Department. The Marketing Commander, reporting directly to the CHENG, manages approved marketing execution and implements the daily marketing strategy.</w:t>
      </w:r>
    </w:p>
    <w:p>
      <w:pPr>
        <w:pStyle w:val="Normal"/>
        <w:widowControl/>
        <w:rPr/>
      </w:pPr>
      <w:r>
        <w:rPr>
          <w:rFonts w:eastAsia="Mendl Sans Dusk Regular" w:cs="Mendl Sans Dusk Regular"/>
          <w:b w:val="false"/>
          <w:color w:val="202723"/>
          <w:sz w:val="21"/>
        </w:rPr>
        <w:t>MH Construction, INC uses a multi-channel media distribution stack so every project update has a clear job: build visibility, reinforce proof, or deepen trusted relationships. Each channel should publish only what it can support well. The goal is not volume - it is clear, evidence-backed communication that reinforces MH as a trusted construction partner.</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Channel</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Primary Job</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Content Type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Approval Authority</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Radio Ads / Commercials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 awareness, top-of-funnel brand recognition</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Produced spots, seasonal campaigns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CEO / CHENG (COO review &gt;$1k)</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YouTube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Long-form proof assets (1x/month)</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Walkthroughs, interviews, project recaps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Website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Central hub for trust content and SEO (Weekly updates)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Case studies, project storytelling, service pages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LinkedIn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B2B authority, owner-facing updates (2x/week)</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Professional proof, milestone announcements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Facebook</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Community visibility, culture (3x/week)</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Trade Partner recognition, community milestones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Team / 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Google Business Profile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Local search visibility (1x/week per location)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Project updates, review responses, service-area posts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Team</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Instagram / X</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Visual proof, short updates (3x/week)</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Milestone amplification when approved</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Team</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Email Blasts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Direct stakeholder communication (1x/month)</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Referral network updates, long-tail follow-up</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Flight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Lead tracking, pipeline, follow-up automation (Daily)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Automated sequences, lead records, attribution data</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CHNAV</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MG-04.0 | Three Content Pillars</w:t>
      </w:r>
    </w:p>
    <w:p>
      <w:pPr>
        <w:pStyle w:val="Normal"/>
        <w:widowControl/>
        <w:rPr/>
      </w:pPr>
      <w:r>
        <w:rPr>
          <w:rFonts w:eastAsia="Mendl Sans Dusk Regular" w:cs="Mendl Sans Dusk Regular"/>
          <w:b w:val="false"/>
          <w:color w:val="202723"/>
          <w:sz w:val="21"/>
        </w:rPr>
        <w:t>Every piece of marketing collateral must align with one of three pillars so the message stays consistent across channels and project phases.</w:t>
      </w:r>
    </w:p>
    <w:p>
      <w:pPr>
        <w:pStyle w:val="Normal"/>
        <w:widowControl/>
        <w:rPr/>
      </w:pPr>
      <w:r>
        <w:rPr>
          <w:rFonts w:eastAsia="Mendl Sans Dusk Regular" w:cs="Mendl Sans Dusk Regular"/>
          <w:b w:val="false"/>
          <w:color w:val="202723"/>
          <w:sz w:val="21"/>
        </w:rPr>
        <w:t>Pillar 1: Service-Earned Discipline</w:t>
      </w:r>
    </w:p>
    <w:p>
      <w:pPr>
        <w:pStyle w:val="Normal"/>
        <w:widowControl/>
        <w:rPr/>
      </w:pPr>
      <w:r>
        <w:rPr>
          <w:rFonts w:eastAsia="Mendl Sans Dusk Regular" w:cs="Mendl Sans Dusk Regular"/>
          <w:b w:val="false"/>
          <w:color w:val="202723"/>
          <w:sz w:val="21"/>
        </w:rPr>
        <w:t>Focus on the people, field standards, and disciplined delivery culture behind the work. Use service-earned language that reflects professionalism, safety, and field credibility without sounding promotional.</w:t>
      </w:r>
    </w:p>
    <w:p>
      <w:pPr>
        <w:pStyle w:val="Normal"/>
        <w:widowControl/>
        <w:rPr/>
      </w:pPr>
      <w:r>
        <w:rPr>
          <w:rFonts w:eastAsia="Mendl Sans Dusk Regular" w:cs="Mendl Sans Dusk Regular"/>
          <w:b w:val="false"/>
          <w:color w:val="202723"/>
          <w:sz w:val="21"/>
        </w:rPr>
        <w:t>Pillar 2: Force Multiplier</w:t>
      </w:r>
    </w:p>
    <w:p>
      <w:pPr>
        <w:pStyle w:val="Normal"/>
        <w:widowControl/>
        <w:rPr/>
      </w:pPr>
      <w:r>
        <w:rPr>
          <w:rFonts w:eastAsia="Mendl Sans Dusk Regular" w:cs="Mendl Sans Dusk Regular"/>
          <w:b w:val="false"/>
          <w:color w:val="202723"/>
          <w:sz w:val="21"/>
        </w:rPr>
        <w:t>Show the technology, integration, and operational efficiency behind the work. This includes spatial capture, digital twins, site documentation, and the systems that support clear coordination, clear handoffs, and zero-gap accountability.</w:t>
      </w:r>
    </w:p>
    <w:p>
      <w:pPr>
        <w:pStyle w:val="Normal"/>
        <w:widowControl/>
        <w:rPr/>
      </w:pPr>
      <w:r>
        <w:rPr>
          <w:rFonts w:eastAsia="Mendl Sans Dusk Regular" w:cs="Mendl Sans Dusk Regular"/>
          <w:b w:val="false"/>
          <w:color w:val="202723"/>
          <w:sz w:val="21"/>
        </w:rPr>
        <w:t>Pillar 3: Handshake Pride</w:t>
      </w:r>
    </w:p>
    <w:p>
      <w:pPr>
        <w:pStyle w:val="Normal"/>
        <w:widowControl/>
        <w:rPr/>
      </w:pPr>
      <w:r>
        <w:rPr>
          <w:rFonts w:eastAsia="Mendl Sans Dusk Regular" w:cs="Mendl Sans Dusk Regular"/>
          <w:b w:val="false"/>
          <w:color w:val="202723"/>
          <w:sz w:val="21"/>
        </w:rPr>
        <w:t>Highlight the stakeholder network and relationship quality behind the build. This includes Client Partners, architects, city officials, Trade Partners, veterans, and other community stakeholders who define the project story and contribute to long-term trust.</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MG-05.0 | The Four-Phase Project Lifecycle Campaign</w:t>
      </w:r>
    </w:p>
    <w:p>
      <w:pPr>
        <w:pStyle w:val="Normal"/>
        <w:widowControl/>
        <w:rPr/>
      </w:pPr>
      <w:r>
        <w:rPr>
          <w:rFonts w:eastAsia="Mendl Sans Dusk Regular" w:cs="Mendl Sans Dusk Regular"/>
          <w:b w:val="false"/>
          <w:color w:val="202723"/>
          <w:sz w:val="21"/>
        </w:rPr>
        <w:t>Each phase uses a plain-language construction description, a branded slogan line, and a proof standard tied to how MH wants the work to be seen in the field and remembered after handoff. The canonical phase names, week ranges, and slogan lines live in the Lifecycle Campaign Parameters.</w:t>
      </w:r>
    </w:p>
    <w:p>
      <w:pPr>
        <w:pStyle w:val="Normal"/>
        <w:widowControl/>
        <w:rPr/>
      </w:pPr>
      <w:r>
        <w:rPr>
          <w:rFonts w:eastAsia="Mendl Sans Dusk Regular" w:cs="Mendl Sans Dusk Regular"/>
          <w:b w:val="false"/>
          <w:color w:val="202723"/>
          <w:sz w:val="21"/>
        </w:rPr>
        <w:t>Phase I: Deployment - Weeks 1-8: Ground Break and Earthwork</w:t>
      </w:r>
    </w:p>
    <w:p>
      <w:pPr>
        <w:pStyle w:val="Normal"/>
        <w:widowControl/>
        <w:rPr/>
      </w:pPr>
      <w:r>
        <w:rPr>
          <w:rFonts w:eastAsia="Mendl Sans Dusk Regular" w:cs="Mendl Sans Dusk Regular"/>
          <w:b w:val="false"/>
          <w:color w:val="202723"/>
          <w:sz w:val="21"/>
        </w:rPr>
        <w:t>Slogan: BREAK GROUND, NOT THE SCHEDULE.</w:t>
      </w:r>
    </w:p>
    <w:p>
      <w:pPr>
        <w:pStyle w:val="Normal"/>
        <w:widowControl/>
        <w:rPr/>
      </w:pPr>
      <w:r>
        <w:rPr>
          <w:rFonts w:eastAsia="Mendl Sans Dusk Regular" w:cs="Mendl Sans Dusk Regular"/>
          <w:b w:val="false"/>
          <w:color w:val="202723"/>
          <w:sz w:val="21"/>
        </w:rPr>
        <w:t>Record site prep, initial trenching, and foundation pours. The PM and Superintendent clear drone flights and safe site access so the early record stays accurate, approved, and usable across channels.</w:t>
      </w:r>
    </w:p>
    <w:p>
      <w:pPr>
        <w:pStyle w:val="Normal"/>
        <w:widowControl/>
        <w:rPr/>
      </w:pPr>
      <w:r>
        <w:rPr>
          <w:rFonts w:eastAsia="Mendl Sans Dusk Regular" w:cs="Mendl Sans Dusk Regular"/>
          <w:b w:val="false"/>
          <w:color w:val="202723"/>
          <w:sz w:val="21"/>
        </w:rPr>
        <w:t>Phase II: Active Tempo - Weeks 9-24: Vertical Build and MEP Rough-In</w:t>
      </w:r>
    </w:p>
    <w:p>
      <w:pPr>
        <w:pStyle w:val="Normal"/>
        <w:widowControl/>
        <w:rPr/>
      </w:pPr>
      <w:r>
        <w:rPr>
          <w:rFonts w:eastAsia="Mendl Sans Dusk Regular" w:cs="Mendl Sans Dusk Regular"/>
          <w:b w:val="false"/>
          <w:color w:val="202723"/>
          <w:sz w:val="21"/>
        </w:rPr>
        <w:t>Slogan: RAISE THE PACE, NOT THE PRESSURE.</w:t>
      </w:r>
    </w:p>
    <w:p>
      <w:pPr>
        <w:pStyle w:val="Normal"/>
        <w:widowControl/>
        <w:rPr/>
      </w:pPr>
      <w:r>
        <w:rPr>
          <w:rFonts w:eastAsia="Mendl Sans Dusk Regular" w:cs="Mendl Sans Dusk Regular"/>
          <w:b w:val="false"/>
          <w:color w:val="202723"/>
          <w:sz w:val="21"/>
        </w:rPr>
        <w:t>Document structural framing, Trade Partner execution, and the active safety posture on site. Align camera crews with major material deliveries and structural milestones so public updates match the most visible progress points.</w:t>
      </w:r>
    </w:p>
    <w:p>
      <w:pPr>
        <w:pStyle w:val="Normal"/>
        <w:widowControl/>
        <w:rPr/>
      </w:pPr>
      <w:r>
        <w:rPr>
          <w:rFonts w:eastAsia="Mendl Sans Dusk Regular" w:cs="Mendl Sans Dusk Regular"/>
          <w:b w:val="false"/>
          <w:color w:val="202723"/>
          <w:sz w:val="21"/>
        </w:rPr>
        <w:t>Phase III: Closing - Weeks 25-32: Finishes and Ribbon Cutting</w:t>
      </w:r>
    </w:p>
    <w:p>
      <w:pPr>
        <w:pStyle w:val="Normal"/>
        <w:widowControl/>
        <w:rPr/>
      </w:pPr>
      <w:r>
        <w:rPr>
          <w:rFonts w:eastAsia="Mendl Sans Dusk Regular" w:cs="Mendl Sans Dusk Regular"/>
          <w:b w:val="false"/>
          <w:color w:val="202723"/>
          <w:sz w:val="21"/>
        </w:rPr>
        <w:t>Slogan: CUT THE RIBBON, NOT THE CORD.</w:t>
      </w:r>
    </w:p>
    <w:p>
      <w:pPr>
        <w:pStyle w:val="Normal"/>
        <w:widowControl/>
        <w:rPr/>
      </w:pPr>
      <w:r>
        <w:rPr>
          <w:rFonts w:eastAsia="Mendl Sans Dusk Regular" w:cs="Mendl Sans Dusk Regular"/>
          <w:b w:val="false"/>
          <w:color w:val="202723"/>
          <w:sz w:val="21"/>
        </w:rPr>
        <w:t>Capture architectural details, final walkthroughs, and stakeholder handoffs. The PM clears final staging areas to ensure the closeout asset set is clean, professional, and ready for long-tail case-study use while reinforcing that the relationship continues after project completion.</w:t>
      </w:r>
    </w:p>
    <w:p>
      <w:pPr>
        <w:pStyle w:val="Normal"/>
        <w:widowControl/>
        <w:rPr/>
      </w:pPr>
      <w:r>
        <w:rPr>
          <w:rFonts w:eastAsia="Mendl Sans Dusk Regular" w:cs="Mendl Sans Dusk Regular"/>
          <w:b w:val="false"/>
          <w:color w:val="202723"/>
          <w:sz w:val="21"/>
        </w:rPr>
        <w:t>Phase IV: Legacy - Weeks 33-36: Project Debrief and Podcast</w:t>
      </w:r>
    </w:p>
    <w:p>
      <w:pPr>
        <w:pStyle w:val="Normal"/>
        <w:widowControl/>
        <w:rPr/>
      </w:pPr>
      <w:r>
        <w:rPr>
          <w:rFonts w:eastAsia="Mendl Sans Dusk Regular" w:cs="Mendl Sans Dusk Regular"/>
          <w:b w:val="false"/>
          <w:color w:val="202723"/>
          <w:sz w:val="21"/>
        </w:rPr>
        <w:t>Slogan: FINISH THE PROJECT, NOT THE PARTNERSHIP.</w:t>
      </w:r>
    </w:p>
    <w:p>
      <w:pPr>
        <w:pStyle w:val="Normal"/>
        <w:widowControl/>
        <w:rPr/>
      </w:pPr>
      <w:r>
        <w:rPr>
          <w:rFonts w:eastAsia="Mendl Sans Dusk Regular" w:cs="Mendl Sans Dusk Regular"/>
          <w:b w:val="false"/>
          <w:color w:val="202723"/>
          <w:sz w:val="21"/>
        </w:rPr>
        <w:t>Execute executive interviews, review cost variances, and publish case studies. The CEO and command team schedule studio recording sessions so the completed project produces durable thought-leadership and referral material after handoff.</w:t>
      </w:r>
    </w:p>
    <w:p>
      <w:pPr>
        <w:pStyle w:val="Normal"/>
        <w:widowControl/>
        <w:rPr/>
      </w:pPr>
      <w:r>
        <w:rPr>
          <w:rFonts w:eastAsia="Mendl Sans Dusk Regular" w:cs="Mendl Sans Dusk Regular"/>
          <w:b w:val="false"/>
          <w:color w:val="202723"/>
          <w:sz w:val="21"/>
        </w:rPr>
        <w:t>Podcast and Legacy Content Production Workflow</w:t>
      </w:r>
    </w:p>
    <w:p>
      <w:pPr>
        <w:pStyle w:val="Normal"/>
        <w:widowControl/>
        <w:rPr/>
      </w:pPr>
      <w:r>
        <w:rPr>
          <w:rFonts w:eastAsia="Mendl Sans Dusk Regular" w:cs="Mendl Sans Dusk Regular"/>
          <w:b w:val="false"/>
          <w:color w:val="202723"/>
          <w:sz w:val="21"/>
        </w:rPr>
        <w:t>Phase IV legacy content requires a defined production path. The CHENG coordinates with the CEO to schedule the studio session within 30 days of project closeout. The session agenda covers: project overview and scope summary, key milestones and challenges, stakeholder recognition, and lessons learned. Raw recordings are reviewed by the CEO before publication. Published assets are logged in the project case-study record in Procore and distributed via YouTube, LinkedIn, and the website.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MG-06.0 | Content Standards and Proof Rules</w:t>
      </w:r>
    </w:p>
    <w:p>
      <w:pPr>
        <w:pStyle w:val="Normal"/>
        <w:widowControl/>
        <w:rPr/>
      </w:pPr>
      <w:r>
        <w:rPr>
          <w:rFonts w:eastAsia="Mendl Sans Dusk Regular" w:cs="Mendl Sans Dusk Regular"/>
          <w:b w:val="false"/>
          <w:color w:val="202723"/>
          <w:sz w:val="21"/>
        </w:rPr>
        <w:t>These standards protect message quality across every project phase and channel. If a post, recap, or case-study element does not meet these baselines, it must be revised or held.</w:t>
      </w:r>
    </w:p>
    <w:p>
      <w:pPr>
        <w:pStyle w:val="Heading3"/>
        <w:widowControl/>
        <w:rPr/>
      </w:pPr>
      <w:r>
        <w:rPr>
          <w:rFonts w:eastAsia="Mendl Sans Dusk Medium" w:cs="Mendl Sans Dusk Medium" w:ascii="Mendl Sans Dusk Medium" w:hAnsi="Mendl Sans Dusk Medium"/>
          <w:b/>
          <w:color w:val="1E392C"/>
          <w:sz w:val="23"/>
        </w:rPr>
        <w:t>Section 6.1: Channel Baseline</w:t>
      </w:r>
    </w:p>
    <w:p>
      <w:pPr>
        <w:pStyle w:val="Normal"/>
        <w:widowControl/>
        <w:rPr/>
      </w:pPr>
      <w:r>
        <w:rPr>
          <w:rFonts w:eastAsia="Mendl Sans Dusk Regular" w:cs="Mendl Sans Dusk Regular"/>
          <w:b w:val="false"/>
          <w:color w:val="202723"/>
          <w:sz w:val="21"/>
        </w:rPr>
        <w:t>Primary channels: LinkedIn and Facebook.</w:t>
      </w:r>
    </w:p>
    <w:p>
      <w:pPr>
        <w:pStyle w:val="Normal"/>
        <w:widowControl/>
        <w:rPr/>
      </w:pPr>
      <w:r>
        <w:rPr>
          <w:rFonts w:eastAsia="Mendl Sans Dusk Regular" w:cs="Mendl Sans Dusk Regular"/>
          <w:b w:val="false"/>
          <w:color w:val="202723"/>
          <w:sz w:val="21"/>
        </w:rPr>
        <w:t>Secondary channels: YouTube, Google Business Profile, Instagram, X, reviews, newsletters, and website case-study surfaces when approved.</w:t>
      </w:r>
    </w:p>
    <w:p>
      <w:pPr>
        <w:pStyle w:val="Normal"/>
        <w:widowControl/>
        <w:rPr/>
      </w:pPr>
      <w:r>
        <w:rPr>
          <w:rFonts w:eastAsia="Mendl Sans Dusk Regular" w:cs="Mendl Sans Dusk Regular"/>
          <w:b w:val="false"/>
          <w:color w:val="202723"/>
          <w:sz w:val="21"/>
        </w:rPr>
        <w:t>Keep visual identity, naming, and trust framing consistent across channels.</w:t>
      </w:r>
    </w:p>
    <w:p>
      <w:pPr>
        <w:pStyle w:val="Normal"/>
        <w:widowControl/>
        <w:rPr/>
      </w:pPr>
      <w:r>
        <w:rPr>
          <w:rFonts w:eastAsia="Mendl Sans Dusk Regular" w:cs="Mendl Sans Dusk Regular"/>
          <w:b w:val="false"/>
          <w:color w:val="202723"/>
          <w:sz w:val="21"/>
        </w:rPr>
        <w:t>Match the channel to the message: stakeholder proof on LinkedIn, community-facing visibility on Facebook, local trust visibility on GBP, and deeper evergreen assets on the website and YouTube.</w:t>
      </w:r>
    </w:p>
    <w:p>
      <w:pPr>
        <w:pStyle w:val="Heading3"/>
        <w:widowControl/>
        <w:rPr/>
      </w:pPr>
      <w:r>
        <w:rPr>
          <w:rFonts w:eastAsia="Mendl Sans Dusk Medium" w:cs="Mendl Sans Dusk Medium" w:ascii="Mendl Sans Dusk Medium" w:hAnsi="Mendl Sans Dusk Medium"/>
          <w:b/>
          <w:color w:val="1E392C"/>
          <w:sz w:val="23"/>
        </w:rPr>
        <w:t>Section 6.2: Cadence Baseline</w:t>
      </w:r>
    </w:p>
    <w:p>
      <w:pPr>
        <w:pStyle w:val="Normal"/>
        <w:widowControl/>
        <w:rPr/>
      </w:pPr>
      <w:r>
        <w:rPr>
          <w:rFonts w:eastAsia="Mendl Sans Dusk Regular" w:cs="Mendl Sans Dusk Regular"/>
          <w:b w:val="false"/>
          <w:color w:val="202723"/>
          <w:sz w:val="21"/>
        </w:rPr>
        <w:t>Default pace: one to two posts per week.</w:t>
      </w:r>
    </w:p>
    <w:p>
      <w:pPr>
        <w:pStyle w:val="Normal"/>
        <w:widowControl/>
        <w:rPr/>
      </w:pPr>
      <w:r>
        <w:rPr>
          <w:rFonts w:eastAsia="Mendl Sans Dusk Regular" w:cs="Mendl Sans Dusk Regular"/>
          <w:b w:val="false"/>
          <w:color w:val="202723"/>
          <w:sz w:val="21"/>
        </w:rPr>
        <w:t>Prefer one proof-driven update and one supporting technical or trust post when the project has enough approved material.</w:t>
      </w:r>
    </w:p>
    <w:p>
      <w:pPr>
        <w:pStyle w:val="Normal"/>
        <w:widowControl/>
        <w:rPr/>
      </w:pPr>
      <w:r>
        <w:rPr>
          <w:rFonts w:eastAsia="Mendl Sans Dusk Regular" w:cs="Mendl Sans Dusk Regular"/>
          <w:b w:val="false"/>
          <w:color w:val="202723"/>
          <w:sz w:val="21"/>
        </w:rPr>
        <w:t>Reduce cadence when approvals, privacy, or project sensitivity require a slower release rhythm.</w:t>
      </w:r>
    </w:p>
    <w:p>
      <w:pPr>
        <w:pStyle w:val="Normal"/>
        <w:widowControl/>
        <w:rPr/>
      </w:pPr>
      <w:r>
        <w:rPr>
          <w:rFonts w:eastAsia="Mendl Sans Dusk Regular" w:cs="Mendl Sans Dusk Regular"/>
          <w:b w:val="false"/>
          <w:color w:val="202723"/>
          <w:sz w:val="21"/>
        </w:rPr>
        <w:t>Increase cadence only when verified milestones, media quality, and owner sensitivity all support it.</w:t>
      </w:r>
    </w:p>
    <w:p>
      <w:pPr>
        <w:pStyle w:val="Heading3"/>
        <w:widowControl/>
        <w:rPr/>
      </w:pPr>
      <w:r>
        <w:rPr>
          <w:rFonts w:eastAsia="Mendl Sans Dusk Medium" w:cs="Mendl Sans Dusk Medium" w:ascii="Mendl Sans Dusk Medium" w:hAnsi="Mendl Sans Dusk Medium"/>
          <w:b/>
          <w:color w:val="1E392C"/>
          <w:sz w:val="23"/>
        </w:rPr>
        <w:t>Section 6.3: Copy Baseline</w:t>
      </w:r>
    </w:p>
    <w:p>
      <w:pPr>
        <w:pStyle w:val="Normal"/>
        <w:widowControl/>
        <w:rPr/>
      </w:pPr>
      <w:r>
        <w:rPr>
          <w:rFonts w:eastAsia="Mendl Sans Dusk Regular" w:cs="Mendl Sans Dusk Regular"/>
          <w:b w:val="false"/>
          <w:color w:val="202723"/>
          <w:sz w:val="21"/>
        </w:rPr>
        <w:t>Lead with construction delivery language first.</w:t>
      </w:r>
    </w:p>
    <w:p>
      <w:pPr>
        <w:pStyle w:val="Normal"/>
        <w:widowControl/>
        <w:rPr/>
      </w:pPr>
      <w:r>
        <w:rPr>
          <w:rFonts w:eastAsia="Mendl Sans Dusk Regular" w:cs="Mendl Sans Dusk Regular"/>
          <w:b w:val="false"/>
          <w:color w:val="202723"/>
          <w:sz w:val="21"/>
        </w:rPr>
        <w:t>Keep veteran field standards as credibility support, not as hype.</w:t>
      </w:r>
    </w:p>
    <w:p>
      <w:pPr>
        <w:pStyle w:val="Normal"/>
        <w:widowControl/>
        <w:rPr/>
      </w:pPr>
      <w:r>
        <w:rPr>
          <w:rFonts w:eastAsia="Mendl Sans Dusk Regular" w:cs="Mendl Sans Dusk Regular"/>
          <w:b w:val="false"/>
          <w:color w:val="202723"/>
          <w:sz w:val="21"/>
        </w:rPr>
        <w:t>Use plain-language, evidence-backed statements.</w:t>
      </w:r>
    </w:p>
    <w:p>
      <w:pPr>
        <w:pStyle w:val="Normal"/>
        <w:widowControl/>
        <w:rPr/>
      </w:pPr>
      <w:r>
        <w:rPr>
          <w:rFonts w:eastAsia="Mendl Sans Dusk Regular" w:cs="Mendl Sans Dusk Regular"/>
          <w:b w:val="false"/>
          <w:color w:val="202723"/>
          <w:sz w:val="21"/>
        </w:rPr>
        <w:t>Avoid speculative completion claims, internal assumptions, and unverified performance language.</w:t>
      </w:r>
    </w:p>
    <w:p>
      <w:pPr>
        <w:pStyle w:val="Normal"/>
        <w:widowControl/>
        <w:rPr/>
      </w:pPr>
      <w:r>
        <w:rPr>
          <w:rFonts w:eastAsia="Mendl Sans Dusk Regular" w:cs="Mendl Sans Dusk Regular"/>
          <w:b w:val="false"/>
          <w:color w:val="202723"/>
          <w:sz w:val="21"/>
        </w:rPr>
        <w:t>Prefer wording that reinforces clear scope, accountable delivery, dependable follow-through, and mission-ready handoff.</w:t>
      </w:r>
    </w:p>
    <w:p>
      <w:pPr>
        <w:pStyle w:val="Heading3"/>
        <w:widowControl/>
        <w:rPr/>
      </w:pPr>
      <w:r>
        <w:rPr>
          <w:rFonts w:eastAsia="Mendl Sans Dusk Medium" w:cs="Mendl Sans Dusk Medium" w:ascii="Mendl Sans Dusk Medium" w:hAnsi="Mendl Sans Dusk Medium"/>
          <w:b/>
          <w:color w:val="1E392C"/>
          <w:sz w:val="23"/>
        </w:rPr>
        <w:t>Section 6.4: Proof Baseline</w:t>
      </w:r>
    </w:p>
    <w:p>
      <w:pPr>
        <w:pStyle w:val="Normal"/>
        <w:widowControl/>
        <w:rPr/>
      </w:pPr>
      <w:r>
        <w:rPr>
          <w:rFonts w:eastAsia="Mendl Sans Dusk Regular" w:cs="Mendl Sans Dusk Regular"/>
          <w:b w:val="false"/>
          <w:color w:val="202723"/>
          <w:sz w:val="21"/>
        </w:rPr>
        <w:t>Only publish updates tied to actual milestones and approved facts.</w:t>
      </w:r>
    </w:p>
    <w:p>
      <w:pPr>
        <w:pStyle w:val="Normal"/>
        <w:widowControl/>
        <w:rPr/>
      </w:pPr>
      <w:r>
        <w:rPr>
          <w:rFonts w:eastAsia="Mendl Sans Dusk Regular" w:cs="Mendl Sans Dusk Regular"/>
          <w:b w:val="false"/>
          <w:color w:val="202723"/>
          <w:sz w:val="21"/>
        </w:rPr>
        <w:t>Prefer completed-scope photos, approved milestone notes, verified outcomes, and stakeholder-approved summaries.</w:t>
      </w:r>
    </w:p>
    <w:p>
      <w:pPr>
        <w:pStyle w:val="Normal"/>
        <w:widowControl/>
        <w:rPr/>
      </w:pPr>
      <w:r>
        <w:rPr>
          <w:rFonts w:eastAsia="Mendl Sans Dusk Regular" w:cs="Mendl Sans Dusk Regular"/>
          <w:b w:val="false"/>
          <w:color w:val="202723"/>
          <w:sz w:val="21"/>
        </w:rPr>
        <w:t>Treat privacy, controlled access, and active-jobsite boundaries as mandatory.</w:t>
      </w:r>
    </w:p>
    <w:p>
      <w:pPr>
        <w:pStyle w:val="Normal"/>
        <w:widowControl/>
        <w:rPr/>
      </w:pPr>
      <w:r>
        <w:rPr>
          <w:rFonts w:eastAsia="Mendl Sans Dusk Regular" w:cs="Mendl Sans Dusk Regular"/>
          <w:b w:val="false"/>
          <w:color w:val="202723"/>
          <w:sz w:val="21"/>
        </w:rPr>
        <w:t>When in doubt, choose the lower-risk proof set and wait for better approved evidence.</w:t>
      </w:r>
    </w:p>
    <w:p>
      <w:pPr>
        <w:pStyle w:val="Heading3"/>
        <w:widowControl/>
        <w:rPr/>
      </w:pPr>
      <w:r>
        <w:rPr>
          <w:rFonts w:eastAsia="Mendl Sans Dusk Medium" w:cs="Mendl Sans Dusk Medium" w:ascii="Mendl Sans Dusk Medium" w:hAnsi="Mendl Sans Dusk Medium"/>
          <w:b/>
          <w:color w:val="1E392C"/>
          <w:sz w:val="23"/>
        </w:rPr>
        <w:t>Section 6.5: Photo and Video Approval</w:t>
      </w:r>
    </w:p>
    <w:p>
      <w:pPr>
        <w:pStyle w:val="Normal"/>
        <w:widowControl/>
        <w:rPr/>
      </w:pPr>
      <w:r>
        <w:rPr>
          <w:rFonts w:eastAsia="Mendl Sans Dusk Regular" w:cs="Mendl Sans Dusk Regular"/>
          <w:b w:val="false"/>
          <w:color w:val="202723"/>
          <w:sz w:val="21"/>
        </w:rPr>
        <w:t>Per the Employee Handbook (HB 04), no team member may post photos or videos of active job sites, Client Partner properties, or proprietary construction methods without prior written approval from the COO or CEO. The CHENG coordinates this approval before any field media is released to any channel. The PM is responsible for clearing drone flights and safe site access for media capture - this is a field safety and privacy clearance, not a content approval. Final content approval authority remains with the CHENG and CEO.</w:t>
      </w:r>
    </w:p>
    <w:p>
      <w:pPr>
        <w:pStyle w:val="Heading3"/>
        <w:widowControl/>
        <w:rPr/>
      </w:pPr>
      <w:r>
        <w:rPr>
          <w:rFonts w:eastAsia="Mendl Sans Dusk Medium" w:cs="Mendl Sans Dusk Medium" w:ascii="Mendl Sans Dusk Medium" w:hAnsi="Mendl Sans Dusk Medium"/>
          <w:b/>
          <w:color w:val="1E392C"/>
          <w:sz w:val="23"/>
        </w:rPr>
        <w:t>Section 6.6: Client Testimonial Capture</w:t>
      </w:r>
    </w:p>
    <w:p>
      <w:pPr>
        <w:pStyle w:val="Normal"/>
        <w:widowControl/>
        <w:rPr/>
      </w:pPr>
      <w:r>
        <w:rPr>
          <w:rFonts w:eastAsia="Mendl Sans Dusk Regular" w:cs="Mendl Sans Dusk Regular"/>
          <w:b w:val="false"/>
          <w:color w:val="202723"/>
          <w:sz w:val="21"/>
        </w:rPr>
        <w:t>Client testimonials are a high-value proof asset. The PM initiates the testimonial request at Phase III closeout using the approved Photo and Media Release Form. The CHENG reviews the testimonial for accuracy and tone before publication. Testimonials must not be edited in a way that changes the Client Partner's intended meaning. All testimonials are logged in the project case-study record in Procore.</w:t>
      </w:r>
    </w:p>
    <w:p>
      <w:pPr>
        <w:pStyle w:val="Heading3"/>
        <w:widowControl/>
        <w:rPr/>
      </w:pPr>
      <w:r>
        <w:rPr>
          <w:rFonts w:eastAsia="Mendl Sans Dusk Medium" w:cs="Mendl Sans Dusk Medium" w:ascii="Mendl Sans Dusk Medium" w:hAnsi="Mendl Sans Dusk Medium"/>
          <w:b/>
          <w:color w:val="1E392C"/>
          <w:sz w:val="23"/>
        </w:rPr>
        <w:t>Section 6.7: Email List Governance</w:t>
      </w:r>
    </w:p>
    <w:p>
      <w:pPr>
        <w:pStyle w:val="Normal"/>
        <w:widowControl/>
        <w:rPr/>
      </w:pPr>
      <w:r>
        <w:rPr>
          <w:rFonts w:eastAsia="Mendl Sans Dusk Regular" w:cs="Mendl Sans Dusk Regular"/>
          <w:b w:val="false"/>
          <w:color w:val="202723"/>
          <w:sz w:val="21"/>
        </w:rPr>
        <w:t>All email blast lists are managed in Marketing Flight. Contacts must have opted in or have a pre-existing business relationship with MH Construction, INC. Unsubscribe requests must be honored within 10 business days. The CHENG is responsible for list hygiene and CAN-SPAM compliance. No personal email lists or external list vendors may be used without CEO approval.</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MG-07.0 | Guardrails</w:t>
      </w:r>
    </w:p>
    <w:p>
      <w:pPr>
        <w:pStyle w:val="Normal"/>
        <w:widowControl/>
        <w:rPr/>
      </w:pPr>
      <w:r>
        <w:rPr>
          <w:rFonts w:eastAsia="Mendl Sans Dusk Regular" w:cs="Mendl Sans Dusk Regular"/>
          <w:b w:val="false"/>
          <w:color w:val="202723"/>
          <w:sz w:val="21"/>
        </w:rPr>
        <w:t>Keep language relationship-first, construction-first, and factual.</w:t>
      </w:r>
    </w:p>
    <w:p>
      <w:pPr>
        <w:pStyle w:val="Normal"/>
        <w:widowControl/>
        <w:rPr/>
      </w:pPr>
      <w:r>
        <w:rPr>
          <w:rFonts w:eastAsia="Mendl Sans Dusk Regular" w:cs="Mendl Sans Dusk Regular"/>
          <w:b w:val="false"/>
          <w:color w:val="202723"/>
          <w:sz w:val="21"/>
        </w:rPr>
        <w:t>Preserve trust and accreditation signals where relevant.</w:t>
      </w:r>
    </w:p>
    <w:p>
      <w:pPr>
        <w:pStyle w:val="Normal"/>
        <w:widowControl/>
        <w:rPr/>
      </w:pPr>
      <w:r>
        <w:rPr>
          <w:rFonts w:eastAsia="Mendl Sans Dusk Regular" w:cs="Mendl Sans Dusk Regular"/>
          <w:b w:val="false"/>
          <w:color w:val="202723"/>
          <w:sz w:val="21"/>
        </w:rPr>
        <w:t>Use the approved MH primary slogan when a slogan is required, and keep supporting lines aligned with it.</w:t>
      </w:r>
    </w:p>
    <w:p>
      <w:pPr>
        <w:pStyle w:val="Normal"/>
        <w:widowControl/>
        <w:rPr/>
      </w:pPr>
      <w:r>
        <w:rPr>
          <w:rFonts w:eastAsia="Mendl Sans Dusk Regular" w:cs="Mendl Sans Dusk Regular"/>
          <w:b w:val="false"/>
          <w:color w:val="202723"/>
          <w:sz w:val="21"/>
        </w:rPr>
        <w:t>Do not claim outcomes that cannot be supported by evidence.</w:t>
      </w:r>
    </w:p>
    <w:p>
      <w:pPr>
        <w:pStyle w:val="Normal"/>
        <w:widowControl/>
        <w:rPr/>
      </w:pPr>
      <w:r>
        <w:rPr>
          <w:rFonts w:eastAsia="Mendl Sans Dusk Regular" w:cs="Mendl Sans Dusk Regular"/>
          <w:b w:val="false"/>
          <w:color w:val="202723"/>
          <w:sz w:val="21"/>
        </w:rPr>
        <w:t>Apply public-sector sensitivity controls when the project touches government or grant-funded work.</w:t>
      </w:r>
    </w:p>
    <w:p>
      <w:pPr>
        <w:pStyle w:val="Normal"/>
        <w:widowControl/>
        <w:rPr/>
      </w:pPr>
      <w:r>
        <w:rPr>
          <w:rFonts w:eastAsia="Mendl Sans Dusk Regular" w:cs="Mendl Sans Dusk Regular"/>
          <w:b w:val="false"/>
          <w:color w:val="202723"/>
          <w:sz w:val="21"/>
        </w:rPr>
        <w:t>Align page titles, section labels, and descriptors with canonical MH naming rules.</w:t>
      </w:r>
    </w:p>
    <w:p>
      <w:pPr>
        <w:pStyle w:val="Normal"/>
        <w:widowControl/>
        <w:rPr/>
      </w:pPr>
      <w:r>
        <w:rPr>
          <w:rFonts w:eastAsia="Mendl Sans Dusk Regular" w:cs="Mendl Sans Dusk Regular"/>
          <w:b w:val="false"/>
          <w:color w:val="202723"/>
          <w:sz w:val="21"/>
        </w:rPr>
        <w:t>Avoid internal jargon, hype phrasing, and militarized language that reduces clarity for owner and community audiences.</w:t>
      </w:r>
    </w:p>
    <w:p>
      <w:pPr>
        <w:pStyle w:val="Normal"/>
        <w:widowControl/>
        <w:rPr/>
      </w:pPr>
      <w:r>
        <w:rPr>
          <w:rFonts w:eastAsia="Mendl Sans Dusk Regular" w:cs="Mendl Sans Dusk Regular"/>
          <w:b w:val="false"/>
          <w:color w:val="202723"/>
          <w:sz w:val="21"/>
        </w:rPr>
        <w:t>Do not release any content that identifies active jobsite access points, security measures, or proprietary construction sequencing.</w:t>
      </w:r>
    </w:p>
    <w:p>
      <w:pPr>
        <w:pStyle w:val="Normal"/>
        <w:widowControl/>
        <w:rPr/>
      </w:pPr>
      <w:r>
        <w:rPr>
          <w:rFonts w:eastAsia="Mendl Sans Dusk Regular" w:cs="Mendl Sans Dusk Regular"/>
          <w:b w:val="false"/>
          <w:color w:val="202723"/>
          <w:sz w:val="21"/>
        </w:rPr>
        <w:t>Do not use AI-generated images of MH projects or personnel without CEO approval.</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MG-08.0 | Success Measures and Reporting</w:t>
      </w:r>
    </w:p>
    <w:p>
      <w:pPr>
        <w:pStyle w:val="Normal"/>
        <w:widowControl/>
        <w:rPr/>
      </w:pPr>
      <w:r>
        <w:rPr>
          <w:rFonts w:eastAsia="Mendl Sans Dusk Regular" w:cs="Mendl Sans Dusk Regular"/>
          <w:b w:val="false"/>
          <w:color w:val="202723"/>
          <w:sz w:val="21"/>
        </w:rPr>
        <w:t>Track the strategy at four levels so performance is measured on consistency, proof, and relationship value, not just output volume. The CHENG reports these metrics to the CEO monthly.</w:t>
      </w:r>
    </w:p>
    <w:tbl>
      <w:tblPr>
        <w:tblStyle w:val="TableGrid"/>
        <w:tblW w:w="9876"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2469"/>
        <w:gridCol w:w="2469"/>
        <w:gridCol w:w="2469"/>
        <w:gridCol w:w="2469"/>
      </w:tblGrid>
      <w:tr>
        <w:trPr/>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Measure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What Good Looks Like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Reporting Cadence</w:t>
            </w:r>
          </w:p>
        </w:tc>
        <w:tc>
          <w:tcPr>
            <w:tcW w:w="246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Owner</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Cadence</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 adherence to weekly posting schedule across all active platforms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Weekly self-check; monthly CEO report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Proof quality</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Zero unverified claims; all public posts backed by project evidence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Per-post review before publish</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Brand congruency</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Zero deviations from Dual Terminology Standard and Brand Constants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audit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Conversion value</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Minimum 2% lead conversion rate from inbound digital traffic</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(Marketing Flight data)</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CHNAV</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GBP local rank</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Maintain top 3 ranking for 'general contractor Pasco' and primary keywords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(GBP Insights)</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Marketing Team</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Website traffic</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5% month-over-month organic traffic growth; &gt;500 unique visitors/mo</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(Google Analytics)</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Email engagement</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Open rate consistently above 20%; unsubscribe rate below 1.0%</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Per campaign (High-Level)</w:t>
            </w:r>
          </w:p>
        </w:tc>
        <w:tc>
          <w:tcPr>
            <w:tcW w:w="246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w:t>
            </w:r>
          </w:p>
        </w:tc>
      </w:tr>
      <w:tr>
        <w:trPr/>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Lead attribution</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95%+ of inbound leads accurately tagged by source channel in CRM</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Monthly pipeline review</w:t>
            </w:r>
          </w:p>
        </w:tc>
        <w:tc>
          <w:tcPr>
            <w:tcW w:w="246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 CHNAV</w:t>
            </w:r>
          </w:p>
        </w:tc>
      </w:tr>
    </w:tbl>
    <w:p>
      <w:pPr>
        <w:pStyle w:val="Normal"/>
        <w:widowControl/>
        <w:spacing w:before="0" w:after="20"/>
        <w:rPr/>
      </w:pPr>
      <w:r>
        <w:rPr/>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MG-09.0 | CRM and Lead Attribution</w:t>
      </w:r>
    </w:p>
    <w:p>
      <w:pPr>
        <w:pStyle w:val="Normal"/>
        <w:widowControl/>
        <w:rPr/>
      </w:pPr>
      <w:r>
        <w:rPr>
          <w:rFonts w:eastAsia="Mendl Sans Dusk Regular" w:cs="Mendl Sans Dusk Regular"/>
          <w:b w:val="false"/>
          <w:color w:val="202723"/>
          <w:sz w:val="21"/>
        </w:rPr>
        <w:t>Marketing Flight is the system of record for all inbound leads, client relationships, and marketing-driven pipeline activity. Every inbound inquiry - regardless of channel - must be logged in High-Level within one business day of receipt.</w:t>
      </w:r>
    </w:p>
    <w:p>
      <w:pPr>
        <w:pStyle w:val="Heading3"/>
        <w:widowControl/>
        <w:rPr/>
      </w:pPr>
      <w:r>
        <w:rPr>
          <w:rFonts w:eastAsia="Mendl Sans Dusk Medium" w:cs="Mendl Sans Dusk Medium" w:ascii="Mendl Sans Dusk Medium" w:hAnsi="Mendl Sans Dusk Medium"/>
          <w:b/>
          <w:color w:val="1E392C"/>
          <w:sz w:val="23"/>
        </w:rPr>
        <w:t>Section 9.1: Lead Source Tagging</w:t>
      </w:r>
    </w:p>
    <w:p>
      <w:pPr>
        <w:pStyle w:val="Normal"/>
        <w:widowControl/>
        <w:rPr/>
      </w:pPr>
      <w:r>
        <w:rPr>
          <w:rFonts w:eastAsia="Mendl Sans Dusk Regular" w:cs="Mendl Sans Dusk Regular"/>
          <w:b w:val="false"/>
          <w:color w:val="202723"/>
          <w:sz w:val="21"/>
        </w:rPr>
        <w:t>All leads must be tagged with their originating source channel at the time of entry. Approved source tags are: Website Contact Form, Google Business Profile, LinkedIn, Facebook, Referral (name the referrer), Radio, Email Campaign, Phone (direct), and Other (describe). This data feeds the monthly conversion value metric in MG 08.</w:t>
      </w:r>
    </w:p>
    <w:p>
      <w:pPr>
        <w:pStyle w:val="Heading3"/>
        <w:widowControl/>
        <w:rPr/>
      </w:pPr>
      <w:r>
        <w:rPr>
          <w:rFonts w:eastAsia="Mendl Sans Dusk Medium" w:cs="Mendl Sans Dusk Medium" w:ascii="Mendl Sans Dusk Medium" w:hAnsi="Mendl Sans Dusk Medium"/>
          <w:b/>
          <w:color w:val="1E392C"/>
          <w:sz w:val="23"/>
        </w:rPr>
        <w:t>Section 9.2: Marketing-to-Sales Handoff</w:t>
      </w:r>
    </w:p>
    <w:p>
      <w:pPr>
        <w:pStyle w:val="Normal"/>
        <w:widowControl/>
        <w:rPr/>
      </w:pPr>
      <w:r>
        <w:rPr>
          <w:rFonts w:eastAsia="Mendl Sans Dusk Regular" w:cs="Mendl Sans Dusk Regular"/>
          <w:b w:val="false"/>
          <w:color w:val="202723"/>
          <w:sz w:val="21"/>
        </w:rPr>
        <w:t>When a marketing-originated lead reaches the qualification threshold (Client Partner has expressed intent to discuss a specific project), the CHENG notifies the CHNAV within one business day and tags the lead as 'Sales Ready' in High-Level. At that exact transition point, the CHNAV assumes full and exclusive control of the pursuit tracking to prevent data duplication. The CHENG retains read-only visibility in High-Level to track whether the lead converts and to attribute the channel correctly.</w:t>
      </w:r>
    </w:p>
    <w:p>
      <w:pPr>
        <w:pStyle w:val="Heading3"/>
        <w:widowControl/>
        <w:rPr/>
      </w:pPr>
      <w:r>
        <w:rPr>
          <w:rFonts w:eastAsia="Mendl Sans Dusk Medium" w:cs="Mendl Sans Dusk Medium" w:ascii="Mendl Sans Dusk Medium" w:hAnsi="Mendl Sans Dusk Medium"/>
          <w:b/>
          <w:color w:val="1E392C"/>
          <w:sz w:val="23"/>
        </w:rPr>
        <w:t>Section 9.3: Post-Award Marketing Trigger</w:t>
      </w:r>
    </w:p>
    <w:p>
      <w:pPr>
        <w:pStyle w:val="Normal"/>
        <w:widowControl/>
        <w:rPr/>
      </w:pPr>
      <w:r>
        <w:rPr>
          <w:rFonts w:eastAsia="Mendl Sans Dusk Regular" w:cs="Mendl Sans Dusk Regular"/>
          <w:b w:val="false"/>
          <w:color w:val="202723"/>
          <w:sz w:val="21"/>
        </w:rPr>
        <w:t>Upon contract award, the CHNAV notifies the CHENG within two business days. The CHENG initiates the Phase I (Deployment) campaign within five business days of the award notification. The project is added to the active campaign register, and the milestone capture plan is drafted in coordination with the PM.</w:t>
      </w:r>
    </w:p>
    <w:p>
      <w:pPr>
        <w:pStyle w:val="Normal"/>
        <w:widowControl/>
        <w:rPr/>
      </w:pPr>
      <w:r>
        <w:rPr>
          <w:rFonts w:eastAsia="Mendl Sans Dusk Regular" w:cs="Mendl Sans Dusk Regular"/>
          <w:b w:val="false"/>
          <w:color w:val="202723"/>
          <w:sz w:val="21"/>
        </w:rPr>
        <w:t>DIRECTIVE: MG-10-DIR-01: Authority Scope. The CHENG (Chief Engineer / Director of Digital Operations) holds unilateral content and spend approval authority for marketing initiatives up to $1,000. Any spend or campaign commitment between $1,000 and $2,500 requires secondary review and approval by the Chief Operating Officer (COO). Spend exceeding $2,500 requires CEO approval.</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MG-10.0 | Budget and Spend Governance</w:t>
      </w:r>
    </w:p>
    <w:p>
      <w:pPr>
        <w:pStyle w:val="Normal"/>
        <w:widowControl/>
        <w:rPr/>
      </w:pPr>
      <w:r>
        <w:rPr>
          <w:rFonts w:eastAsia="Mendl Sans Dusk Regular" w:cs="Mendl Sans Dusk Regular"/>
          <w:b w:val="false"/>
          <w:color w:val="202723"/>
          <w:sz w:val="21"/>
        </w:rPr>
        <w:t>Marketing spend is a controlled operational expense. All marketing expenditures must be pre-approved and tracked against the annual marketing budget established by the CEO during the annual planning cycle.</w:t>
      </w:r>
    </w:p>
    <w:p>
      <w:pPr>
        <w:pStyle w:val="Heading3"/>
        <w:widowControl/>
        <w:rPr/>
      </w:pPr>
      <w:r>
        <w:rPr>
          <w:rFonts w:eastAsia="Mendl Sans Dusk Medium" w:cs="Mendl Sans Dusk Medium" w:ascii="Mendl Sans Dusk Medium" w:hAnsi="Mendl Sans Dusk Medium"/>
          <w:b/>
          <w:color w:val="1E392C"/>
          <w:sz w:val="23"/>
        </w:rPr>
        <w:t>Section 10.1: Approval Thresholds</w:t>
      </w:r>
    </w:p>
    <w:tbl>
      <w:tblPr>
        <w:tblStyle w:val="TableGrid"/>
        <w:tblW w:w="9878" w:type="dxa"/>
        <w:jc w:val="start"/>
        <w:tblInd w:w="0" w:type="dxa"/>
        <w:tblLayout w:type="fixed"/>
        <w:tblCellMar>
          <w:top w:w="80" w:type="dxa"/>
          <w:start w:w="120" w:type="dxa"/>
          <w:bottom w:w="80" w:type="dxa"/>
          <w:end w:w="120" w:type="dxa"/>
        </w:tblCellMar>
        <w:tblLook w:val="04a0" w:firstRow="1" w:noVBand="1" w:lastRow="0" w:firstColumn="1" w:lastColumn="0" w:noHBand="0"/>
      </w:tblPr>
      <w:tblGrid>
        <w:gridCol w:w="4939"/>
        <w:gridCol w:w="4939"/>
      </w:tblGrid>
      <w:tr>
        <w:trPr/>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Spend Amount</w:t>
            </w:r>
          </w:p>
        </w:tc>
        <w:tc>
          <w:tcPr>
            <w:tcW w:w="4939" w:type="dxa"/>
            <w:tcBorders/>
            <w:shd w:fill="386851"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Medium" w:cs="Mendl Sans Dusk Medium"/>
                <w:b/>
                <w:color w:val="FFFFFF"/>
                <w:kern w:val="0"/>
                <w:sz w:val="17"/>
                <w:szCs w:val="22"/>
                <w:lang w:val="en-US" w:eastAsia="en-US" w:bidi="ar-SA"/>
              </w:rPr>
              <w:t>Required Approval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Under $1,000 (single item)</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unilateral approval; log in Sage 100</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$1,000 to $2,500</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CHENG approval + COO review and approval</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$2,500 to $10,000</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CEO approval required before commitment</w:t>
            </w:r>
          </w:p>
        </w:tc>
      </w:tr>
      <w:tr>
        <w:trPr/>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Over $10,000</w:t>
            </w:r>
          </w:p>
        </w:tc>
        <w:tc>
          <w:tcPr>
            <w:tcW w:w="4939" w:type="dxa"/>
            <w:tcBorders/>
            <w:shd w:fill="F3F6F3" w:val="clear"/>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CEO approval + board/owner review if applicable</w:t>
            </w:r>
          </w:p>
        </w:tc>
      </w:tr>
      <w:tr>
        <w:trPr/>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Radio / broadcast contracts (any amount)</w:t>
            </w:r>
          </w:p>
        </w:tc>
        <w:tc>
          <w:tcPr>
            <w:tcW w:w="4939" w:type="dxa"/>
            <w:tcBorders/>
            <w:vAlign w:val="center"/>
          </w:tcPr>
          <w:p>
            <w:pPr>
              <w:pStyle w:val="Normal"/>
              <w:widowControl/>
              <w:suppressAutoHyphens w:val="true"/>
              <w:spacing w:before="0" w:after="40"/>
              <w:jc w:val="start"/>
              <w:rPr>
                <w:rFonts w:eastAsia="ＭＳ 明朝" w:cs=""/>
                <w:kern w:val="0"/>
                <w:szCs w:val="22"/>
                <w:lang w:val="en-US" w:eastAsia="en-US" w:bidi="ar-SA"/>
              </w:rPr>
            </w:pPr>
            <w:r>
              <w:rPr>
                <w:rFonts w:eastAsia="Mendl Sans Dusk Regular" w:cs="Mendl Sans Dusk Regular"/>
                <w:b w:val="false"/>
                <w:color w:val="202723"/>
                <w:kern w:val="0"/>
                <w:sz w:val="17"/>
                <w:szCs w:val="22"/>
                <w:lang w:val="en-US" w:eastAsia="en-US" w:bidi="ar-SA"/>
              </w:rPr>
              <w:t>CEO approval required</w:t>
            </w:r>
          </w:p>
        </w:tc>
      </w:tr>
    </w:tbl>
    <w:p>
      <w:pPr>
        <w:pStyle w:val="Normal"/>
        <w:widowControl/>
        <w:spacing w:before="0" w:after="20"/>
        <w:rPr/>
      </w:pPr>
      <w:r>
        <w:rPr/>
      </w:r>
    </w:p>
    <w:p>
      <w:pPr>
        <w:pStyle w:val="Heading3"/>
        <w:widowControl/>
        <w:rPr/>
      </w:pPr>
      <w:r>
        <w:rPr>
          <w:rFonts w:eastAsia="Mendl Sans Dusk Medium" w:cs="Mendl Sans Dusk Medium" w:ascii="Mendl Sans Dusk Medium" w:hAnsi="Mendl Sans Dusk Medium"/>
          <w:b/>
          <w:color w:val="1E392C"/>
          <w:sz w:val="23"/>
        </w:rPr>
        <w:t>Section 10.2: Vendor and Platform Contracts</w:t>
      </w:r>
    </w:p>
    <w:p>
      <w:pPr>
        <w:pStyle w:val="Normal"/>
        <w:widowControl/>
        <w:rPr/>
      </w:pPr>
      <w:r>
        <w:rPr>
          <w:rFonts w:eastAsia="Mendl Sans Dusk Regular" w:cs="Mendl Sans Dusk Regular"/>
          <w:b w:val="false"/>
          <w:color w:val="202723"/>
          <w:sz w:val="21"/>
        </w:rPr>
        <w:t>All recurring platform subscriptions (High-Level, scheduling tools, analytics tools) must be reviewed annually by the CHENG and approved by the CEO. New vendor contracts must be reviewed for data privacy terms before execution. No marketing vendor may have access to Client Partner data without a signed NDA and CEO approval.</w:t>
      </w:r>
    </w:p>
    <w:p>
      <w:pPr>
        <w:pStyle w:val="Heading3"/>
        <w:widowControl/>
        <w:rPr/>
      </w:pPr>
      <w:r>
        <w:rPr>
          <w:rFonts w:eastAsia="Mendl Sans Dusk Medium" w:cs="Mendl Sans Dusk Medium" w:ascii="Mendl Sans Dusk Medium" w:hAnsi="Mendl Sans Dusk Medium"/>
          <w:b/>
          <w:color w:val="1E392C"/>
          <w:sz w:val="23"/>
        </w:rPr>
        <w:t>Section 10.3: Cost Code Integration</w:t>
      </w:r>
    </w:p>
    <w:p>
      <w:pPr>
        <w:pStyle w:val="Normal"/>
        <w:widowControl/>
        <w:rPr/>
      </w:pPr>
      <w:r>
        <w:rPr>
          <w:rFonts w:eastAsia="Mendl Sans Dusk Regular" w:cs="Mendl Sans Dusk Regular"/>
          <w:b w:val="false"/>
          <w:color w:val="202723"/>
          <w:sz w:val="21"/>
        </w:rPr>
        <w:t>Marketing expenses are coded in Sage 100 under the approved marketing cost code structure. Project-specific marketing costs (photography, video production, signage) are coded to the project. General brand and channel costs are coded to the overhead marketing budget. The CHENG reconciles the marketing budget with the COO quarterly.</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MG-11.0 | Inbound Lead Handoff to Sales</w:t>
      </w:r>
    </w:p>
    <w:p>
      <w:pPr>
        <w:pStyle w:val="Normal"/>
        <w:widowControl/>
        <w:rPr/>
      </w:pPr>
      <w:r>
        <w:rPr>
          <w:rFonts w:eastAsia="Mendl Sans Dusk Regular" w:cs="Mendl Sans Dusk Regular"/>
          <w:b w:val="false"/>
          <w:color w:val="202723"/>
          <w:sz w:val="21"/>
        </w:rPr>
        <w:t>This section defines the reverse handoff - from marketing-generated awareness to a qualified sales pursuit. It closes the loop between MG 09 (CRM and Lead Attribution) and SE 04.1 (Opportunity Qualification) in the Sales/Estimating Guide.</w:t>
      </w:r>
    </w:p>
    <w:p>
      <w:pPr>
        <w:pStyle w:val="Heading3"/>
        <w:widowControl/>
        <w:rPr/>
      </w:pPr>
      <w:r>
        <w:rPr>
          <w:rFonts w:eastAsia="Mendl Sans Dusk Medium" w:cs="Mendl Sans Dusk Medium" w:ascii="Mendl Sans Dusk Medium" w:hAnsi="Mendl Sans Dusk Medium"/>
          <w:b/>
          <w:color w:val="1E392C"/>
          <w:sz w:val="23"/>
        </w:rPr>
        <w:t>Section 11.1: Qualification Threshold</w:t>
      </w:r>
    </w:p>
    <w:p>
      <w:pPr>
        <w:pStyle w:val="Normal"/>
        <w:widowControl/>
        <w:rPr/>
      </w:pPr>
      <w:r>
        <w:rPr>
          <w:rFonts w:eastAsia="Mendl Sans Dusk Regular" w:cs="Mendl Sans Dusk Regular"/>
          <w:b w:val="false"/>
          <w:color w:val="202723"/>
          <w:sz w:val="21"/>
        </w:rPr>
        <w:t>A marketing lead reaches the handoff threshold when the Client Partner has: (1) identified a specific project or scope, (2) confirmed a decision timeline, and (3) expressed willingness to engage MH Construction, INC directly. Leads that do not meet all three criteria remain in the marketing nurture track in High-Level.</w:t>
      </w:r>
    </w:p>
    <w:p>
      <w:pPr>
        <w:pStyle w:val="Heading3"/>
        <w:widowControl/>
        <w:rPr/>
      </w:pPr>
      <w:r>
        <w:rPr>
          <w:rFonts w:eastAsia="Mendl Sans Dusk Medium" w:cs="Mendl Sans Dusk Medium" w:ascii="Mendl Sans Dusk Medium" w:hAnsi="Mendl Sans Dusk Medium"/>
          <w:b/>
          <w:color w:val="1E392C"/>
          <w:sz w:val="23"/>
        </w:rPr>
        <w:t>Section 11.2: Handoff Protocol</w:t>
      </w:r>
    </w:p>
    <w:p>
      <w:pPr>
        <w:pStyle w:val="Normal"/>
        <w:widowControl/>
        <w:rPr/>
      </w:pPr>
      <w:r>
        <w:rPr>
          <w:rFonts w:eastAsia="Mendl Sans Dusk Regular" w:cs="Mendl Sans Dusk Regular"/>
          <w:b w:val="false"/>
          <w:color w:val="202723"/>
          <w:sz w:val="21"/>
        </w:rPr>
        <w:t>CHENG creates a handoff summary in High-Level, including: lead source, contact history, project description, and any known budget or timeline signals.</w:t>
      </w:r>
    </w:p>
    <w:p>
      <w:pPr>
        <w:pStyle w:val="Normal"/>
        <w:widowControl/>
        <w:rPr/>
      </w:pPr>
      <w:r>
        <w:rPr>
          <w:rFonts w:eastAsia="Mendl Sans Dusk Regular" w:cs="Mendl Sans Dusk Regular"/>
          <w:b w:val="false"/>
          <w:color w:val="202723"/>
          <w:sz w:val="21"/>
        </w:rPr>
        <w:t>CHENG notifies CHNAV via direct message and tags the lead as 'Sales Ready' in High-Level.</w:t>
      </w:r>
    </w:p>
    <w:p>
      <w:pPr>
        <w:pStyle w:val="Normal"/>
        <w:widowControl/>
        <w:rPr/>
      </w:pPr>
      <w:r>
        <w:rPr>
          <w:rFonts w:eastAsia="Mendl Sans Dusk Regular" w:cs="Mendl Sans Dusk Regular"/>
          <w:b w:val="false"/>
          <w:color w:val="202723"/>
          <w:sz w:val="21"/>
        </w:rPr>
        <w:t>CHNAV acknowledges within one business day and initiates SE 04.1.</w:t>
      </w:r>
    </w:p>
    <w:p>
      <w:pPr>
        <w:pStyle w:val="Normal"/>
        <w:widowControl/>
        <w:rPr/>
      </w:pPr>
      <w:r>
        <w:rPr>
          <w:rFonts w:eastAsia="Mendl Sans Dusk Regular" w:cs="Mendl Sans Dusk Regular"/>
          <w:b w:val="false"/>
          <w:color w:val="202723"/>
          <w:sz w:val="21"/>
        </w:rPr>
        <w:t>CHENG remains on the lead record as the originating contact for attribution tracking.</w:t>
      </w:r>
    </w:p>
    <w:p>
      <w:pPr>
        <w:pStyle w:val="Heading3"/>
        <w:widowControl/>
        <w:rPr/>
      </w:pPr>
      <w:r>
        <w:rPr>
          <w:rFonts w:eastAsia="Mendl Sans Dusk Medium" w:cs="Mendl Sans Dusk Medium" w:ascii="Mendl Sans Dusk Medium" w:hAnsi="Mendl Sans Dusk Medium"/>
          <w:b/>
          <w:color w:val="1E392C"/>
          <w:sz w:val="23"/>
        </w:rPr>
        <w:t>Section 11.3: Feedback Loop</w:t>
      </w:r>
    </w:p>
    <w:p>
      <w:pPr>
        <w:pStyle w:val="Normal"/>
        <w:widowControl/>
        <w:rPr/>
      </w:pPr>
      <w:r>
        <w:rPr>
          <w:rFonts w:eastAsia="Mendl Sans Dusk Regular" w:cs="Mendl Sans Dusk Regular"/>
          <w:b w:val="false"/>
          <w:color w:val="202723"/>
          <w:sz w:val="21"/>
        </w:rPr>
        <w:t>The CHNAV notifies the CHENG of the outcome of every handed-off lead (won, lost, or no-bid) within five business days of the decision. This data is used to refine channel investment decisions and campaign targeting in the next planning cycle.</w:t>
      </w:r>
      <w:r>
        <w:br w:type="page"/>
      </w:r>
    </w:p>
    <w:p>
      <w:pPr>
        <w:pStyle w:val="Heading2"/>
        <w:keepNext w:val="true"/>
        <w:widowControl/>
        <w:spacing w:before="0" w:after="120"/>
        <w:rPr/>
      </w:pPr>
      <w:r>
        <w:rPr>
          <w:rFonts w:eastAsia="Mendl Sans Dusk Medium" w:cs="Mendl Sans Dusk Medium" w:ascii="Mendl Sans Dusk Medium" w:hAnsi="Mendl Sans Dusk Medium"/>
          <w:b/>
          <w:color w:val="628F79"/>
          <w:sz w:val="26"/>
        </w:rPr>
        <w:t>MG-12.0 | Mobilization / Project Start and Review</w:t>
      </w:r>
    </w:p>
    <w:p>
      <w:pPr>
        <w:pStyle w:val="Normal"/>
        <w:widowControl/>
        <w:rPr/>
      </w:pPr>
      <w:r>
        <w:rPr>
          <w:rFonts w:eastAsia="Mendl Sans Dusk Regular" w:cs="Mendl Sans Dusk Regular"/>
          <w:b w:val="false"/>
          <w:color w:val="202723"/>
          <w:sz w:val="21"/>
        </w:rPr>
        <w:t>Before publishing a new project marketing run, confirm the following so the campaign stays aligned with MH brand standards and field reality:</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The project has an approved milestone list and media capture plan.</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The weekly cadence matches the current delivery phase and sensitivity level.</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All public copy is evidence-backed and relationship-first.</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The primary slogan, trust language, and naming stay aligned with MH brand standards.</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Client Partner approval has been obtained for any content that identifies the project, property, or personnel.</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The lead is logged in High-Level and the source channel is tagged.</w:t>
      </w:r>
    </w:p>
    <w:p>
      <w:pPr>
        <w:pStyle w:val="ListNumber"/>
        <w:widowControl/>
        <w:numPr>
          <w:ilvl w:val="0"/>
          <w:numId w:val="4"/>
        </w:numPr>
        <w:spacing w:lineRule="auto" w:line="276" w:before="0" w:after="80"/>
        <w:ind w:hanging="259" w:start="461"/>
        <w:contextualSpacing/>
        <w:rPr/>
      </w:pPr>
      <w:r>
        <w:rPr>
          <w:rFonts w:eastAsia="Mendl Sans Dusk Regular" w:cs="Mendl Sans Dusk Regular"/>
          <w:b w:val="false"/>
          <w:color w:val="202723"/>
          <w:sz w:val="21"/>
        </w:rPr>
        <w:t>The guide output is regenerated after material changes to sections, labels, or strategy sources.</w:t>
      </w:r>
    </w:p>
    <w:p>
      <w:pPr>
        <w:pStyle w:val="Normal"/>
        <w:widowControl/>
        <w:rPr/>
      </w:pPr>
      <w:r>
        <w:rPr>
          <w:rFonts w:eastAsia="Mendl Sans Dusk Regular" w:cs="Mendl Sans Dusk Regular"/>
          <w:b w:val="false"/>
          <w:color w:val="202723"/>
          <w:sz w:val="21"/>
        </w:rPr>
        <w:t>Related Canonical Sources</w:t>
      </w:r>
    </w:p>
    <w:p>
      <w:pPr>
        <w:pStyle w:val="Normal"/>
        <w:widowControl/>
        <w:rPr/>
      </w:pPr>
      <w:r>
        <w:rPr>
          <w:rFonts w:eastAsia="Mendl Sans Dusk Regular" w:cs="Mendl Sans Dusk Regular"/>
          <w:b w:val="false"/>
          <w:color w:val="202723"/>
          <w:sz w:val="21"/>
        </w:rPr>
        <w:t>Marketing Documentation Index - broader marketing playbooks and supporting references.</w:t>
      </w:r>
    </w:p>
    <w:p>
      <w:pPr>
        <w:pStyle w:val="Normal"/>
        <w:widowControl/>
        <w:rPr/>
      </w:pPr>
      <w:r>
        <w:rPr>
          <w:rFonts w:eastAsia="Mendl Sans Dusk Regular" w:cs="Mendl Sans Dusk Regular"/>
          <w:b w:val="false"/>
          <w:color w:val="202723"/>
          <w:sz w:val="21"/>
        </w:rPr>
        <w:t>Brand Constants - canonical company facts, slogan standards, and approved brand language.</w:t>
      </w:r>
    </w:p>
    <w:p>
      <w:pPr>
        <w:pStyle w:val="Normal"/>
        <w:widowControl/>
        <w:rPr/>
      </w:pPr>
      <w:r>
        <w:rPr>
          <w:rFonts w:eastAsia="Mendl Sans Dusk Regular" w:cs="Mendl Sans Dusk Regular"/>
          <w:b w:val="false"/>
          <w:color w:val="202723"/>
          <w:sz w:val="21"/>
        </w:rPr>
        <w:t>Brand Messaging Strategy - relationship-first voice, operating-model language, and message hierarchy.</w:t>
      </w:r>
    </w:p>
    <w:p>
      <w:pPr>
        <w:pStyle w:val="Normal"/>
        <w:widowControl/>
        <w:rPr/>
      </w:pPr>
      <w:r>
        <w:rPr>
          <w:rFonts w:eastAsia="Mendl Sans Dusk Regular" w:cs="Mendl Sans Dusk Regular"/>
          <w:b w:val="false"/>
          <w:color w:val="202723"/>
          <w:sz w:val="21"/>
        </w:rPr>
        <w:t>Social Media Branding Parameters - shared campaign parameters baseline.</w:t>
      </w:r>
    </w:p>
    <w:p>
      <w:pPr>
        <w:pStyle w:val="Normal"/>
        <w:widowControl/>
        <w:rPr/>
      </w:pPr>
      <w:r>
        <w:rPr>
          <w:rFonts w:eastAsia="Mendl Sans Dusk Regular" w:cs="Mendl Sans Dusk Regular"/>
          <w:b w:val="false"/>
          <w:color w:val="202723"/>
          <w:sz w:val="21"/>
        </w:rPr>
        <w:t>Lifecycle Campaign Parameters - shared phase naming, week ranges, and slogan baseline.</w:t>
      </w:r>
    </w:p>
    <w:p>
      <w:pPr>
        <w:pStyle w:val="Normal"/>
        <w:widowControl/>
        <w:rPr/>
      </w:pPr>
      <w:r>
        <w:rPr>
          <w:rFonts w:eastAsia="Mendl Sans Dusk Regular" w:cs="Mendl Sans Dusk Regular"/>
          <w:b w:val="false"/>
          <w:color w:val="202723"/>
          <w:sz w:val="21"/>
        </w:rPr>
        <w:t>Proof and Approval Parameters - shared evidence gates, approval checks, and hold conditions.</w:t>
      </w:r>
    </w:p>
    <w:p>
      <w:pPr>
        <w:pStyle w:val="Normal"/>
        <w:widowControl/>
        <w:rPr/>
      </w:pPr>
      <w:r>
        <w:rPr>
          <w:rFonts w:eastAsia="Mendl Sans Dusk Regular" w:cs="Mendl Sans Dusk Regular"/>
          <w:b w:val="false"/>
          <w:color w:val="202723"/>
          <w:sz w:val="21"/>
        </w:rPr>
        <w:t>Pursuit and Handoff Parameters - shared continuity rules when marketing overlaps pursuit or post-award communications.</w:t>
      </w:r>
    </w:p>
    <w:p>
      <w:pPr>
        <w:pStyle w:val="Normal"/>
        <w:widowControl/>
        <w:rPr/>
      </w:pPr>
      <w:r>
        <w:rPr>
          <w:rFonts w:eastAsia="Mendl Sans Dusk Regular" w:cs="Mendl Sans Dusk Regular"/>
          <w:b w:val="false"/>
          <w:color w:val="202723"/>
          <w:sz w:val="21"/>
        </w:rPr>
        <w:t>Google Business Profile Optimization Guide - dedicated GBP operations workflow.</w:t>
      </w:r>
    </w:p>
    <w:p>
      <w:pPr>
        <w:pStyle w:val="Normal"/>
        <w:widowControl/>
        <w:rPr/>
      </w:pPr>
      <w:r>
        <w:rPr>
          <w:rFonts w:eastAsia="Mendl Sans Dusk Regular" w:cs="Mendl Sans Dusk Regular"/>
          <w:b w:val="false"/>
          <w:color w:val="202723"/>
          <w:sz w:val="21"/>
        </w:rPr>
        <w:t>GBP Post Templates - approved Google Business Profile post structures.</w:t>
      </w:r>
    </w:p>
    <w:p>
      <w:pPr>
        <w:pStyle w:val="Normal"/>
        <w:widowControl/>
        <w:rPr/>
      </w:pPr>
      <w:r>
        <w:rPr>
          <w:rFonts w:eastAsia="Mendl Sans Dusk Regular" w:cs="Mendl Sans Dusk Regular"/>
          <w:b w:val="false"/>
          <w:color w:val="202723"/>
          <w:sz w:val="21"/>
        </w:rPr>
        <w:t>Media Strategy &amp; Photo/Video Roadmap - asset planning, capture timing, and repurposing structure.</w:t>
      </w:r>
    </w:p>
    <w:p>
      <w:pPr>
        <w:pStyle w:val="Normal"/>
        <w:widowControl/>
        <w:rPr/>
      </w:pPr>
      <w:r>
        <w:rPr>
          <w:rFonts w:eastAsia="Mendl Sans Dusk Regular" w:cs="Mendl Sans Dusk Regular"/>
          <w:b w:val="false"/>
          <w:color w:val="202723"/>
          <w:sz w:val="21"/>
        </w:rPr>
        <w:t>Marketing Flight - lead attribution, pipeline tracking, and follow-up automation.</w:t>
      </w:r>
    </w:p>
    <w:p>
      <w:pPr>
        <w:pStyle w:val="Heading3"/>
        <w:widowControl/>
        <w:rPr/>
      </w:pPr>
      <w:r>
        <w:rPr>
          <w:rFonts w:eastAsia="Mendl Sans Dusk Medium" w:cs="Mendl Sans Dusk Medium" w:ascii="Mendl Sans Dusk Medium" w:hAnsi="Mendl Sans Dusk Medium"/>
          <w:b/>
          <w:color w:val="1E392C"/>
          <w:sz w:val="23"/>
        </w:rPr>
        <w:t>DIRECTIVE - Marketing Standard</w:t>
      </w:r>
    </w:p>
    <w:p>
      <w:pPr>
        <w:pStyle w:val="Heading4"/>
        <w:widowControl/>
        <w:rPr/>
      </w:pPr>
      <w:r>
        <w:rPr>
          <w:rFonts w:eastAsia="Mendl Sans Dusk Regular" w:cs="Mendl Sans Dusk Regular" w:ascii="Mendl Sans Dusk Regular" w:hAnsi="Mendl Sans Dusk Regular"/>
          <w:b w:val="false"/>
          <w:color w:val="202723"/>
          <w:sz w:val="21"/>
        </w:rPr>
        <w:t>GENERAL ORDER - Procedure</w:t>
      </w:r>
    </w:p>
    <w:p>
      <w:pPr>
        <w:pStyle w:val="Heading4"/>
        <w:widowControl/>
        <w:rPr/>
      </w:pPr>
      <w:r>
        <w:rPr>
          <w:rFonts w:eastAsia="Mendl Sans Dusk Regular" w:cs="Mendl Sans Dusk Regular" w:ascii="Mendl Sans Dusk Regular" w:hAnsi="Mendl Sans Dusk Regular"/>
          <w:b w:val="false"/>
          <w:color w:val="202723"/>
          <w:sz w:val="21"/>
        </w:rPr>
        <w:t>FIELD INSTRUCTION - Execution</w:t>
      </w:r>
    </w:p>
    <w:p>
      <w:pPr>
        <w:pStyle w:val="Normal"/>
        <w:widowControl/>
        <w:rPr/>
      </w:pPr>
      <w:r>
        <w:rPr/>
      </w:r>
      <w:r>
        <w:br w:type="page"/>
      </w:r>
    </w:p>
    <w:p>
      <w:pPr>
        <w:pStyle w:val="Heading1"/>
        <w:keepNext w:val="true"/>
        <w:widowControl/>
        <w:spacing w:before="0" w:after="160"/>
        <w:rPr/>
      </w:pPr>
      <w:r>
        <w:rPr>
          <w:rFonts w:eastAsia="Mendl Sans Dusk Bold" w:cs="Mendl Sans Dusk Bold" w:ascii="Mendl Sans Dusk Bold" w:hAnsi="Mendl Sans Dusk Bold"/>
          <w:b/>
          <w:color w:val="386851"/>
          <w:sz w:val="32"/>
        </w:rPr>
        <w:t>BRANDING TERMINOLOGY LIBRARY INTEGRATION | 2026-08-04</w:t>
      </w:r>
    </w:p>
    <w:p>
      <w:pPr>
        <w:pStyle w:val="Normal"/>
        <w:widowControl/>
        <w:spacing w:before="0" w:after="120"/>
        <w:rPr/>
      </w:pPr>
      <w:r>
        <w:rPr>
          <w:rFonts w:eastAsia="Mendl Sans Dusk Regular" w:cs="Mendl Sans Dusk Regular"/>
        </w:rPr>
        <w:t>The MH Branding Terminology Library v1.0 Draft controls public military-construction terminology, slogans, tag lines, page labels, phrase boundaries, and proposed Word From the General quotations. Marketing Flight must store quotation approval evidence before publication. Contract, regulatory, safety, and technical terms retain their governing meanings.</w:t>
      </w:r>
    </w:p>
    <w:sectPr>
      <w:headerReference w:type="even" r:id="rId4"/>
      <w:headerReference w:type="default" r:id="rId5"/>
      <w:headerReference w:type="first" r:id="rId6"/>
      <w:footerReference w:type="even" r:id="rId7"/>
      <w:footerReference w:type="default" r:id="rId8"/>
      <w:footerReference w:type="first" r:id="rId9"/>
      <w:type w:val="nextPage"/>
      <w:pgSz w:w="12240" w:h="15840"/>
      <w:pgMar w:left="1181" w:right="1181" w:gutter="0" w:header="432" w:top="1123" w:footer="432" w:bottom="1037"/>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roman"/>
    <w:pitch w:val="variable"/>
  </w:font>
  <w:font w:name="Calibri">
    <w:charset w:val="00" w:characterSet="windows-1252"/>
    <w:family w:val="swiss"/>
    <w:pitch w:val="variable"/>
  </w:font>
  <w:font w:name="Courier">
    <w:altName w:val="Courier New"/>
    <w:charset w:val="00" w:characterSet="windows-1252"/>
    <w:family w:val="roman"/>
    <w:pitch w:val="variable"/>
  </w:font>
  <w:font w:name="Liberation Sans">
    <w:altName w:val="Arial"/>
    <w:charset w:val="00" w:characterSet="windows-1252"/>
    <w:family w:val="swiss"/>
    <w:pitch w:val="variable"/>
  </w:font>
  <w:font w:name="Mendl Sans Dusk Bold">
    <w:charset w:val="00" w:characterSet="windows-1252"/>
    <w:family w:val="roman"/>
    <w:pitch w:val="variable"/>
  </w:font>
  <w:font w:name="Mendl Sans Dusk Medium">
    <w:charset w:val="00" w:characterSet="windows-1252"/>
    <w:family w:val="roman"/>
    <w:pitch w:val="variable"/>
  </w:font>
  <w:font w:name="Mendl Sans Dusk Regular">
    <w:charset w:val="00" w:characterSet="windows-1252"/>
    <w:family w:val="roman"/>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18</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18</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Fonts w:eastAsia="Mendl Sans Dusk Regular" w:cs="Mendl Sans Dusk Regular"/>
        <w:b w:val="false"/>
        <w:color w:val="C39A6B"/>
        <w:sz w:val="14"/>
      </w:rPr>
      <w:t xml:space="preserve">CONTROLLED DRAFT | PAGE </w:t>
    </w:r>
    <w:r>
      <w:rPr/>
      <w:fldChar w:fldCharType="begin"/>
    </w:r>
    <w:r>
      <w:rPr/>
      <w:instrText xml:space="preserve"> PAGE </w:instrText>
    </w:r>
    <w:r>
      <w:rPr/>
      <w:fldChar w:fldCharType="separate"/>
    </w:r>
    <w:r>
      <w:rPr/>
      <w:t>1</w:t>
    </w:r>
    <w:r>
      <w:rPr/>
      <w:fldChar w:fldCharType="end"/>
    </w:r>
    <w:r>
      <w:rPr>
        <w:rFonts w:eastAsia="Mendl Sans Dusk Regular" w:cs="Mendl Sans Dusk Regular"/>
        <w:b w:val="false"/>
        <w:color w:val="C39A6B"/>
        <w:sz w:val="14"/>
      </w:rPr>
      <w:t xml:space="preserve"> OF </w:t>
    </w:r>
    <w:r>
      <w:rPr/>
      <w:fldChar w:fldCharType="begin"/>
    </w:r>
    <w:r>
      <w:rPr/>
      <w:instrText xml:space="preserve"> NUMPAGES </w:instrText>
    </w:r>
    <w:r>
      <w:rPr/>
      <w:fldChar w:fldCharType="separate"/>
    </w:r>
    <w:r>
      <w:rPr/>
      <w:t>18</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center"/>
      <w:rPr/>
    </w:pPr>
    <w:r>
      <w:rPr>
        <w:rFonts w:eastAsia="Mendl Sans Dusk Medium" w:cs="Mendl Sans Dusk Medium" w:ascii="Mendl Sans Dusk Medium" w:hAnsi="Mendl Sans Dusk Medium"/>
        <w:b/>
        <w:color w:val="356B52"/>
        <w:sz w:val="14"/>
      </w:rPr>
      <w:t>MH Construction, INC | CONTROLLED ECOSYSTEM | MHC-GC.COM</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360"/>
        </w:tabs>
        <w:ind w:start="36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72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bullet"/>
      <w:lvlText w:val=""/>
      <w:lvlJc w:val="start"/>
      <w:pPr>
        <w:tabs>
          <w:tab w:val="num" w:pos="1080"/>
        </w:tabs>
        <w:ind w:start="108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decimal"/>
      <w:lvlText w:val="%1."/>
      <w:lvlJc w:val="start"/>
      <w:pPr>
        <w:tabs>
          <w:tab w:val="num" w:pos="360"/>
        </w:tabs>
        <w:ind w:start="36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72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1080"/>
        </w:tabs>
        <w:ind w:start="108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40" w:before="0" w:after="90"/>
      <w:jc w:val="start"/>
    </w:pPr>
    <w:rPr>
      <w:rFonts w:ascii="Arial" w:hAnsi="Arial" w:eastAsia="Arial" w:cs=""/>
      <w:color w:val="000000"/>
      <w:kern w:val="0"/>
      <w:sz w:val="19"/>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386851"/>
      <w:sz w:val="36"/>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386851"/>
      <w:sz w:val="30"/>
      <w:szCs w:val="26"/>
    </w:rPr>
  </w:style>
  <w:style w:type="paragraph" w:styleId="Heading3">
    <w:name w:val="heading 3"/>
    <w:basedOn w:val="Normal"/>
    <w:next w:val="Normal"/>
    <w:link w:val="Heading3Char"/>
    <w:uiPriority w:val="9"/>
    <w:unhideWhenUsed/>
    <w:qFormat/>
    <w:rsid w:val="00fc693f"/>
    <w:pPr>
      <w:keepNext w:val="true"/>
      <w:keepLines/>
      <w:spacing w:before="180" w:after="80"/>
      <w:outlineLvl w:val="2"/>
    </w:pPr>
    <w:rPr>
      <w:rFonts w:ascii="Calibri" w:hAnsi="Calibri" w:eastAsia="" w:cs="" w:asciiTheme="majorHAnsi" w:cstheme="majorBidi" w:eastAsiaTheme="majorEastAsia" w:hAnsiTheme="majorHAnsi"/>
      <w:b/>
      <w:bCs/>
      <w:color w:val="BD9264"/>
      <w:sz w:val="23"/>
    </w:rPr>
  </w:style>
  <w:style w:type="paragraph" w:styleId="Heading4">
    <w:name w:val="heading 4"/>
    <w:basedOn w:val="Normal"/>
    <w:next w:val="Normal"/>
    <w:link w:val="Heading4Char"/>
    <w:uiPriority w:val="9"/>
    <w:semiHidden/>
    <w:unhideWhenUsed/>
    <w:qFormat/>
    <w:rsid w:val="00fc693f"/>
    <w:pPr>
      <w:keepNext w:val="true"/>
      <w:keepLines/>
      <w:spacing w:before="120" w:after="60"/>
      <w:outlineLvl w:val="3"/>
    </w:pPr>
    <w:rPr>
      <w:rFonts w:ascii="Calibri" w:hAnsi="Calibri" w:eastAsia="" w:cs="" w:asciiTheme="majorHAnsi" w:cstheme="majorBidi" w:eastAsiaTheme="majorEastAsia" w:hAnsiTheme="majorHAnsi"/>
      <w:b/>
      <w:bCs/>
      <w:i/>
      <w:iCs/>
      <w:color w:val="386851"/>
      <w:sz w:val="20"/>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link w:val="Header"/>
    <w:uiPriority w:val="99"/>
    <w:qFormat/>
    <w:rsid w:val="00e618bf"/>
    <w:rPr/>
  </w:style>
  <w:style w:type="character" w:styleId="FooterChar" w:customStyle="1">
    <w:name w:val="Footer Char"/>
    <w:basedOn w:val="DefaultParagraphFont"/>
    <w:link w:val="Footer"/>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link w:val="Heading1"/>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link w:val="Heading2"/>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link w:val="Heading3"/>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link w:val="Title"/>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link w:val="Subtitle"/>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Text"/>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link w:val="Heading4"/>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link w:val="Heading5"/>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link w:val="Heading6"/>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link w:val="Heading7"/>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link w:val="Heading8"/>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link w:val="Heading9"/>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star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Lucida Sans"/>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star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keepNext w:val="true"/>
      <w:pBdr>
        <w:bottom w:val="single" w:sz="8" w:space="4" w:color="4F81BD" w:themeColor="accent1"/>
      </w:pBdr>
      <w:spacing w:lineRule="auto" w:line="240" w:before="0" w:after="240"/>
      <w:contextualSpacing/>
    </w:pPr>
    <w:rPr>
      <w:rFonts w:ascii="Calibri" w:hAnsi="Calibri" w:eastAsia="" w:cs="" w:asciiTheme="majorHAnsi" w:cstheme="majorBidi" w:eastAsiaTheme="majorEastAsia" w:hAnsiTheme="majorHAnsi"/>
      <w:b/>
      <w:color w:val="386851"/>
      <w:spacing w:val="5"/>
      <w:kern w:val="2"/>
      <w:sz w:val="50"/>
      <w:szCs w:val="52"/>
    </w:rPr>
  </w:style>
  <w:style w:type="paragraph" w:styleId="Subtitle">
    <w:name w:val="Subtitle"/>
    <w:basedOn w:val="Normal"/>
    <w:next w:val="Normal"/>
    <w:link w:val="SubtitleChar"/>
    <w:uiPriority w:val="11"/>
    <w:qFormat/>
    <w:rsid w:val="00fc693f"/>
    <w:pPr>
      <w:keepNext w:val="true"/>
      <w:spacing w:before="0" w:after="160"/>
    </w:pPr>
    <w:rPr>
      <w:rFonts w:ascii="Calibri" w:hAnsi="Calibri" w:eastAsia="" w:cs="" w:asciiTheme="majorHAnsi" w:cstheme="majorBidi" w:eastAsiaTheme="majorEastAsia" w:hAnsiTheme="majorHAnsi"/>
      <w:b/>
      <w:i/>
      <w:iCs/>
      <w:color w:val="BD9264"/>
      <w:spacing w:val="15"/>
      <w:sz w:val="24"/>
      <w:szCs w:val="24"/>
    </w:rPr>
  </w:style>
  <w:style w:type="paragraph" w:styleId="ListParagraph">
    <w:name w:val="List Paragraph"/>
    <w:basedOn w:val="Normal"/>
    <w:uiPriority w:val="34"/>
    <w:qFormat/>
    <w:rsid w:val="00fc693f"/>
    <w:pPr>
      <w:spacing w:before="0" w:after="120"/>
      <w:ind w:star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start="720"/>
      <w:contextualSpacing/>
    </w:pPr>
    <w:rPr/>
  </w:style>
  <w:style w:type="paragraph" w:styleId="List3">
    <w:name w:val="List 3"/>
    <w:basedOn w:val="Normal"/>
    <w:uiPriority w:val="99"/>
    <w:unhideWhenUsed/>
    <w:qFormat/>
    <w:rsid w:val="00326f90"/>
    <w:pPr>
      <w:spacing w:before="0" w:after="120"/>
      <w:ind w:hanging="360" w:star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start="360"/>
      <w:contextualSpacing/>
    </w:pPr>
    <w:rPr/>
  </w:style>
  <w:style w:type="paragraph" w:styleId="ListContinue2">
    <w:name w:val="List Continue 2"/>
    <w:basedOn w:val="Normal"/>
    <w:uiPriority w:val="99"/>
    <w:unhideWhenUsed/>
    <w:rsid w:val="0029639d"/>
    <w:pPr>
      <w:spacing w:before="0" w:after="120"/>
      <w:ind w:start="720"/>
      <w:contextualSpacing/>
    </w:pPr>
    <w:rPr/>
  </w:style>
  <w:style w:type="paragraph" w:styleId="ListContinue3">
    <w:name w:val="List Continue 3"/>
    <w:basedOn w:val="Normal"/>
    <w:uiPriority w:val="99"/>
    <w:unhideWhenUsed/>
    <w:rsid w:val="0029639d"/>
    <w:pPr>
      <w:spacing w:before="0" w:after="120"/>
      <w:ind w:start="1080"/>
      <w:contextualSpacing/>
    </w:pPr>
    <w:rPr/>
  </w:style>
  <w:style w:type="paragraph" w:styleId="MacroText">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star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start="936" w:end="936"/>
    </w:pPr>
    <w:rPr>
      <w:b/>
      <w:bCs/>
      <w:i/>
      <w:iCs/>
      <w:color w:themeColor="accent1" w:val="4F81BD"/>
    </w:rPr>
  </w:style>
  <w:style w:type="paragraph" w:styleId="IndexHeading">
    <w:name w:val="index heading"/>
    <w:basedOn w:val="Heading"/>
    <w:pPr/>
    <w:rPr/>
  </w:style>
  <w:style w:type="paragraph" w:styleId="TOCHeading">
    <w:name w:val="TOC Heading"/>
    <w:basedOn w:val="Heading1"/>
    <w:next w:val="Normal"/>
    <w:uiPriority w:val="39"/>
    <w:semiHidden/>
    <w:unhideWhenUsed/>
    <w:qFormat/>
    <w:rsid w:val="00fc693f"/>
    <w:pPr>
      <w:outlineLvl w:val="9"/>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Pr/>
    </w:tblStylePr>
    <w:tblStylePr w:type="nwCell">
      <w:rPr>
        <w:color w:val="000000" w:themeColor="text1"/>
      </w:rPr>
      <w:tbl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Pr/>
    </w:tblStylePr>
    <w:tblStylePr w:type="nwCell">
      <w:rPr>
        <w:color w:val="000000" w:themeColor="text1"/>
      </w:rPr>
      <w:tbl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Pr/>
    </w:tblStylePr>
    <w:tblStylePr w:type="nwCell">
      <w:rPr>
        <w:color w:val="000000" w:themeColor="text1"/>
      </w:rPr>
      <w:tbl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Pr/>
    </w:tblStylePr>
    <w:tblStylePr w:type="nwCell">
      <w:rPr>
        <w:color w:val="000000" w:themeColor="text1"/>
      </w:rPr>
      <w:tbl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Pr/>
    </w:tblStylePr>
    <w:tblStylePr w:type="nwCell">
      <w:rPr>
        <w:color w:val="000000" w:themeColor="text1"/>
      </w:rPr>
      <w:tbl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Pr/>
    </w:tblStylePr>
    <w:tblStylePr w:type="nwCell">
      <w:rPr>
        <w:color w:val="000000" w:themeColor="text1"/>
      </w:rPr>
      <w:tbl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1.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numbering" Target="numbering.xml"/><Relationship Id="rId11" Type="http://schemas.openxmlformats.org/officeDocument/2006/relationships/fontTable" Target="fontTable.xml"/><Relationship Id="rId12" Type="http://schemas.openxmlformats.org/officeDocument/2006/relationships/settings" Target="settings.xml"/><Relationship Id="rId13" Type="http://schemas.openxmlformats.org/officeDocument/2006/relationships/theme" Target="theme/theme1.xml"/><Relationship Id="rId14" Type="http://schemas.openxmlformats.org/officeDocument/2006/relationships/customXml" Target="../customXml/item1.xml"/><Relationship Id="rId15" Type="http://schemas.openxmlformats.org/officeDocument/2006/relationships/customXml" Target="../customXml/item2.xml"/><Relationship Id="rId16" Type="http://schemas.openxmlformats.org/officeDocument/2006/relationships/customXml" Target="../customXml/item3.xml"/><Relationship Id="rId17" Type="http://schemas.openxmlformats.org/officeDocument/2006/relationships/customXml" Target="../customXml/item4.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_rels/item2.xml.rels><?xml version="1.0" encoding="UTF-8"?>
<Relationships xmlns="http://schemas.openxmlformats.org/package/2006/relationships"><Relationship Id="rId1" Type="http://schemas.openxmlformats.org/officeDocument/2006/relationships/customXmlProps" Target="itemProps2.xml"/>
</Relationships>
</file>

<file path=customXml/_rels/item3.xml.rels><?xml version="1.0" encoding="UTF-8"?>
<Relationships xmlns="http://schemas.openxmlformats.org/package/2006/relationships"><Relationship Id="rId1" Type="http://schemas.openxmlformats.org/officeDocument/2006/relationships/customXmlProps" Target="itemProps3.xml"/>
</Relationships>
</file>

<file path=customXml/_rels/item4.xml.rels><?xml version="1.0" encoding="UTF-8"?>
<Relationships xmlns="http://schemas.openxmlformats.org/package/2006/relationships"><Relationship Id="rId1" Type="http://schemas.openxmlformats.org/officeDocument/2006/relationships/customXmlProps" Target="itemProps4.xml"/>
</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8271A0D3C14E832065E558459821" ma:contentTypeVersion="21" ma:contentTypeDescription="Create a new document." ma:contentTypeScope="" ma:versionID="0934b2446988b38a2ccfdd43ee391908">
  <xsd:schema xmlns:xsd="http://www.w3.org/2001/XMLSchema" xmlns:xs="http://www.w3.org/2001/XMLSchema" xmlns:p="http://schemas.microsoft.com/office/2006/metadata/properties" xmlns:ns1="http://schemas.microsoft.com/sharepoint/v3" xmlns:ns2="d8afe817-5413-4e14-a718-c30ddd63b255" xmlns:ns3="a55680ac-93de-4e2e-b770-d6a625c34de1" targetNamespace="http://schemas.microsoft.com/office/2006/metadata/properties" ma:root="true" ma:fieldsID="b0e0396c7492a1b2086257e8312fd647" ns1:_="" ns2:_="" ns3:_="">
    <xsd:import namespace="http://schemas.microsoft.com/sharepoint/v3"/>
    <xsd:import namespace="d8afe817-5413-4e14-a718-c30ddd63b255"/>
    <xsd:import namespace="a55680ac-93de-4e2e-b770-d6a625c34de1"/>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Location" minOccurs="0"/>
                <xsd:element ref="ns3:SharedWithUsers" minOccurs="0"/>
                <xsd:element ref="ns3:SharedWithDetails" minOccurs="0"/>
                <xsd:element ref="ns2:MediaServiceOCR" minOccurs="0"/>
                <xsd:element ref="ns2:MediaServiceEventHashCode" minOccurs="0"/>
                <xsd:element ref="ns2:MediaServiceGenerationTime" minOccurs="0"/>
                <xsd:element ref="ns2:MediaServiceAutoKeyPoints" minOccurs="0"/>
                <xsd:element ref="ns2:MediaServiceKeyPoints" minOccurs="0"/>
                <xsd:element ref="ns1:_ip_UnifiedCompliancePolicyProperties" minOccurs="0"/>
                <xsd:element ref="ns1:_ip_UnifiedCompliancePolicyUIAc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0" nillable="true" ma:displayName="Unified Compliance Policy Properties" ma:hidden="true" ma:internalName="_ip_UnifiedCompliancePolicyProperties">
      <xsd:simpleType>
        <xsd:restriction base="dms:Note"/>
      </xsd:simpleType>
    </xsd:element>
    <xsd:element name="_ip_UnifiedCompliancePolicyUIAction" ma:index="21"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afe817-5413-4e14-a718-c30ddd63b25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MediaServiceAutoTags" ma:internalName="MediaServiceAutoTags" ma:readOnly="true">
      <xsd:simpleType>
        <xsd:restriction base="dms:Text"/>
      </xsd:simpleType>
    </xsd:element>
    <xsd:element name="MediaServiceLocation" ma:index="12" nillable="true" ma:displayName="MediaServiceLocation" ma:internalName="MediaServiceLocation" ma:readOnly="true">
      <xsd:simpleType>
        <xsd:restriction base="dms:Text"/>
      </xsd:simpleType>
    </xsd:element>
    <xsd:element name="MediaServiceOCR" ma:index="15" nillable="true" ma:displayName="MediaServiceOCR" ma:internalName="MediaServiceOCR" ma:readOnly="true">
      <xsd:simpleType>
        <xsd:restriction base="dms:Note">
          <xsd:maxLength value="255"/>
        </xsd:restriction>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2" nillable="true" ma:displayName="Length (seconds)" ma:internalName="MediaLengthInSeconds" ma:readOnly="true">
      <xsd:simpleType>
        <xsd:restriction base="dms:Unknown"/>
      </xsd:simpleType>
    </xsd:element>
    <xsd:element name="lcf76f155ced4ddcb4097134ff3c332f" ma:index="24" nillable="true" ma:taxonomy="true" ma:internalName="lcf76f155ced4ddcb4097134ff3c332f" ma:taxonomyFieldName="MediaServiceImageTags" ma:displayName="Image Tags" ma:readOnly="false" ma:fieldId="{5cf76f15-5ced-4ddc-b409-7134ff3c332f}" ma:taxonomyMulti="true" ma:sspId="da2d8591-d21d-48f7-bfe1-0974a23ed4fe"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7" nillable="true" ma:displayName="MediaServiceSearchProperties" ma:hidden="true" ma:internalName="MediaServiceSearchProperties" ma:readOnly="true">
      <xsd:simpleType>
        <xsd:restriction base="dms:Note"/>
      </xsd:simpleType>
    </xsd:element>
    <xsd:element name="MediaServiceBillingMetadata" ma:index="28"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55680ac-93de-4e2e-b770-d6a625c34d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TaxCatchAll" ma:index="25" nillable="true" ma:displayName="Taxonomy Catch All Column" ma:hidden="true" ma:list="{f60135bc-62b8-4964-a2b8-9207c4dd5a26}" ma:internalName="TaxCatchAll" ma:showField="CatchAllData" ma:web="a55680ac-93de-4e2e-b770-d6a625c34de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d8afe817-5413-4e14-a718-c30ddd63b255">
      <Terms xmlns="http://schemas.microsoft.com/office/infopath/2007/PartnerControls"/>
    </lcf76f155ced4ddcb4097134ff3c332f>
    <TaxCatchAll xmlns="a55680ac-93de-4e2e-b770-d6a625c34de1"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E39C226C-18A9-4607-A4D9-15730C807173}"/>
</file>

<file path=customXml/itemProps2.xml><?xml version="1.0" encoding="utf-8"?>
<ds:datastoreItem xmlns:ds="http://schemas.openxmlformats.org/officeDocument/2006/customXml" ds:itemID="{7D931299-9BF5-4043-B46F-3B33DE0D4CE2}"/>
</file>

<file path=customXml/itemProps3.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4.xml><?xml version="1.0" encoding="utf-8"?>
<ds:datastoreItem xmlns:ds="http://schemas.openxmlformats.org/officeDocument/2006/customXml" ds:itemID="{AF4E3E16-CE54-4DBC-96D4-4B015B487A9D}"/>
</file>

<file path=docProps/app.xml><?xml version="1.0" encoding="utf-8"?>
<Properties xmlns="http://schemas.openxmlformats.org/officeDocument/2006/extended-properties" xmlns:vt="http://schemas.openxmlformats.org/officeDocument/2006/docPropsVTypes">
  <Template>Normal.dotm</Template>
  <TotalTime>0</TotalTime>
  <Application>LibreOffice/26.2.5.2$Windows_X86_64 LibreOffice_project/cd7284b4cbbfeb507e630c1aac019f4157393acb</Application>
  <AppVersion>15.0000</AppVersion>
  <Pages>18</Pages>
  <Words>3261</Words>
  <Characters>19933</Characters>
  <CharactersWithSpaces>22914</CharactersWithSpaces>
  <Paragraphs>275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Matt Ramsey</dc:creator>
  <dc:description>Controlled Rough Draft. Not approved for operational use.</dc:description>
  <dc:language>en-US</dc:language>
  <cp:lastModifiedBy/>
  <dcterms:modified xsi:type="dcterms:W3CDTF">2026-08-05T19:38:55Z</dcterms:modified>
  <cp:revision>7</cp:revision>
  <dc:subject>MH Ecosystem Version 1.0 Draft</dc:subject>
  <dc:title>MH Marketing Strategy Guide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0x010100E19A8271A0D3C14E832065E558459821</vt:lpwstr>
  </property>
</Properties>
</file>