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widowControl/>
              <w:spacing w:before="0" w:after="40"/>
              <w:jc w:val="center"/>
              <w:rPr/>
            </w:pPr>
            <w:r>
              <w:rPr/>
              <w:drawing>
                <wp:inline distT="0" distB="0" distL="0" distR="0">
                  <wp:extent cx="2148840" cy="12249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widowControl/>
              <w:spacing w:before="0" w:after="40"/>
              <w:jc w:val="start"/>
              <w:rPr/>
            </w:pPr>
            <w:r>
              <w:rPr>
                <w:rFonts w:eastAsia="Mendl Sans Dusk Regular" w:cs="Mendl Sans Dusk Regular"/>
                <w:b/>
                <w:color w:val="BD9264"/>
                <w:sz w:val="18"/>
              </w:rPr>
              <w:t>CONTROLLED ENTERPRISE DOCUMENT</w:t>
            </w:r>
          </w:p>
          <w:p>
            <w:pPr>
              <w:pStyle w:val="Normal"/>
              <w:widowControl/>
              <w:spacing w:before="0" w:after="40"/>
              <w:jc w:val="start"/>
              <w:rPr/>
            </w:pPr>
            <w:r>
              <w:rPr>
                <w:rFonts w:eastAsia="Mendl Sans Dusk Bold" w:cs="Mendl Sans Dusk Bold"/>
                <w:b/>
                <w:color w:val="386851"/>
                <w:sz w:val="48"/>
              </w:rPr>
              <w:t>MH Equipment Fleet Management Manual</w:t>
            </w:r>
          </w:p>
          <w:p>
            <w:pPr>
              <w:pStyle w:val="Normal"/>
              <w:widowControl/>
              <w:spacing w:before="0" w:after="40"/>
              <w:jc w:val="start"/>
              <w:rPr/>
            </w:pPr>
            <w:r>
              <w:rPr>
                <w:rFonts w:eastAsia="Mendl Sans Dusk Regular" w:cs="Mendl Sans Dusk Regular"/>
                <w:b w:val="false"/>
                <w:color w:val="386851"/>
                <w:sz w:val="20"/>
              </w:rPr>
              <w:t>MH Construction, INC Enterprise Management System</w:t>
            </w:r>
          </w:p>
          <w:p>
            <w:pPr>
              <w:pStyle w:val="Normal"/>
              <w:widowControl/>
              <w:spacing w:before="0" w:after="40"/>
              <w:jc w:val="start"/>
              <w:rPr/>
            </w:pPr>
            <w:r>
              <w:rPr>
                <w:rFonts w:eastAsia="Mendl Sans Dusk Regular" w:cs="Mendl Sans Dusk Regular"/>
                <w:b w:val="false"/>
                <w:color w:val="434343"/>
                <w:sz w:val="18"/>
              </w:rPr>
              <w:t>Document family: SAFETY AND FIELD OPERATIONS</w:t>
              <w:br/>
              <w:t>Document title: MH Equipment Fleet Management Manual</w:t>
              <w:br/>
              <w:t>Version: 1.0 | Lifecycle: Rough Draft</w:t>
            </w:r>
          </w:p>
          <w:p>
            <w:pPr>
              <w:pStyle w:val="Normal"/>
              <w:widowControl/>
              <w:pBdr>
                <w:bottom w:val="single" w:sz="6" w:space="7" w:color="BD9264"/>
              </w:pBdr>
              <w:spacing w:before="120" w:after="40"/>
              <w:rPr/>
            </w:pPr>
            <w:r>
              <w:rPr>
                <w:rFonts w:eastAsia="Mendl Sans Dusk Regular" w:cs="Mendl Sans Dusk Regular"/>
                <w:b w:val="false"/>
                <w:color w:val="434343"/>
                <w:sz w:val="16"/>
              </w:rPr>
              <w:t>Use only after required functional, technical, field-usability, and approval gates are complete.</w:t>
            </w:r>
          </w:p>
        </w:tc>
      </w:tr>
    </w:tbl>
    <w:p>
      <w:pPr>
        <w:pStyle w:val="Normal"/>
        <w:widowContro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spacing w:before="560" w:after="360"/>
        <w:rPr/>
      </w:pPr>
      <w:r>
        <w:rPr/>
        <w:drawing>
          <wp:inline distT="0" distB="0" distL="0" distR="0">
            <wp:extent cx="2331720" cy="1329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331720" cy="1329055"/>
                    </a:xfrm>
                    <a:prstGeom prst="rect">
                      <a:avLst/>
                    </a:prstGeom>
                    <a:noFill/>
                  </pic:spPr>
                </pic:pic>
              </a:graphicData>
            </a:graphic>
          </wp:inline>
        </w:drawing>
      </w:r>
    </w:p>
    <w:p>
      <w:pPr>
        <w:pStyle w:val="Title"/>
        <w:widowControl/>
        <w:spacing w:before="160" w:after="200"/>
        <w:contextualSpacing/>
        <w:rPr/>
      </w:pPr>
      <w:r>
        <w:rPr>
          <w:rFonts w:eastAsia="Mendl Sans Dusk Bold" w:cs="Mendl Sans Dusk Bold" w:ascii="Mendl Sans Dusk Bold" w:hAnsi="Mendl Sans Dusk Bold"/>
          <w:b/>
          <w:color w:val="386851"/>
          <w:sz w:val="54"/>
        </w:rPr>
        <w:t>MH Construction, INC Equipment and Fleet Management Manual</w:t>
      </w:r>
    </w:p>
    <w:p>
      <w:pPr>
        <w:pStyle w:val="Heading2"/>
        <w:widowControl/>
        <w:rPr/>
      </w:pPr>
      <w:r>
        <w:rPr>
          <w:rFonts w:eastAsia="Mendl Sans Dusk Medium" w:cs="Mendl Sans Dusk Medium" w:ascii="Mendl Sans Dusk Medium" w:hAnsi="Mendl Sans Dusk Medium"/>
          <w:b/>
          <w:color w:val="628F79"/>
          <w:sz w:val="26"/>
        </w:rPr>
        <w:t>Controlled functional standard and operating evidence</w:t>
      </w:r>
    </w:p>
    <w:p>
      <w:pPr>
        <w:pStyle w:val="Normal"/>
        <w:widowControl/>
        <w:rPr/>
      </w:pPr>
      <w:r>
        <w:rPr>
          <w:rFonts w:eastAsia="Mendl Sans Dusk Regular" w:cs="Mendl Sans Dusk Regular"/>
          <w:b/>
          <w:color w:val="202723"/>
          <w:sz w:val="21"/>
        </w:rPr>
        <w:t>Document ID: EFM-001 Version: 1.0 Owner: Fleet Commander Approver: Jeremy Thamert, Owner/CEO Status: Rough Draft - functional, technical and field review required Classification: Internal - controlled System of record: Fleet maintenance repository Review cycle: Annual and upon material change</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386851" w:val="clear"/>
            <w:vAlign w:val="center"/>
          </w:tcPr>
          <w:p>
            <w:pPr>
              <w:pStyle w:val="Normal"/>
              <w:widowControl/>
              <w:spacing w:before="0" w:after="40"/>
              <w:rPr/>
            </w:pPr>
            <w:r>
              <w:rPr>
                <w:rFonts w:eastAsia="Mendl Sans Dusk Regular" w:cs="Mendl Sans Dusk Regular"/>
                <w:b/>
                <w:color w:val="FFFFFF"/>
                <w:sz w:val="17"/>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pStyle w:val="Normal"/>
        <w:widowControl/>
        <w:spacing w:before="0" w:after="20"/>
        <w:rPr/>
      </w:pPr>
      <w:r>
        <w:rPr/>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1. Purpose and authority</w:t>
      </w:r>
    </w:p>
    <w:p>
      <w:pPr>
        <w:pStyle w:val="Normal"/>
        <w:widowControl/>
        <w:rPr/>
      </w:pPr>
      <w:r>
        <w:rPr>
          <w:rFonts w:eastAsia="Mendl Sans Dusk Regular" w:cs="Mendl Sans Dusk Regular"/>
          <w:b w:val="false"/>
          <w:color w:val="202723"/>
          <w:sz w:val="21"/>
        </w:rPr>
        <w:t>This manual establishes the accountable process, required evidence and release conditions for equipment and fleet management manual. It does not authorize a departure from a contract, law, technical instruction or safety requirement. The owner assigns trained delegates but retains accountability for process performance and evidence quality.</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2. Required controls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No.</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Required control</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Equipment authorization, inspection and defect removal</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Preventive maintenance, repair and fleet availability</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Vehicle, trailer and equipment assignment control</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3. Operating workflow</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Verify operator qualification before dispatch.</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Remove unsafe equipment from service and document repair authorization.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Track inspections, maintenance, defects, return-to-service and asset location.</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4. Evidence and records</w:t>
      </w:r>
    </w:p>
    <w:p>
      <w:pPr>
        <w:pStyle w:val="Normal"/>
        <w:widowControl/>
        <w:rPr/>
      </w:pPr>
      <w:r>
        <w:rPr>
          <w:rFonts w:eastAsia="Mendl Sans Dusk Regular" w:cs="Mendl Sans Dusk Regular"/>
          <w:b w:val="false"/>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Operator certification log</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Daily equipment inspection</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Equipment maintenance request</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5. Exceptions, escalation and assurance</w:t>
      </w:r>
    </w:p>
    <w:p>
      <w:pPr>
        <w:pStyle w:val="Normal"/>
        <w:widowControl/>
        <w:rPr/>
      </w:pPr>
      <w:r>
        <w:rPr>
          <w:rFonts w:eastAsia="Mendl Sans Dusk Regular" w:cs="Mendl Sans Dusk Regular"/>
          <w:b w:val="false"/>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p>
      <w:pPr>
        <w:pStyle w:val="Normal"/>
        <w:widowControl/>
        <w:rPr/>
      </w:pPr>
      <w:r>
        <w:rPr/>
      </w:r>
      <w:r>
        <w:br w:type="page"/>
      </w:r>
    </w:p>
    <w:p>
      <w:pPr>
        <w:pStyle w:val="Heading1"/>
        <w:keepNext w:val="true"/>
        <w:widowControl/>
        <w:spacing w:before="0" w:after="160"/>
        <w:rPr/>
      </w:pPr>
      <w:r>
        <w:rPr>
          <w:rFonts w:eastAsia="Mendl Sans Dusk Bold" w:cs="Mendl Sans Dusk Bold" w:ascii="Mendl Sans Dusk Bold" w:hAnsi="Mendl Sans Dusk Bold"/>
          <w:b/>
          <w:color w:val="386851"/>
          <w:sz w:val="32"/>
        </w:rPr>
        <w:t>CONTROL INTEGRATION | VERSION 1.0 ROUGH DRAFT</w:t>
      </w:r>
    </w:p>
    <w:p>
      <w:pPr>
        <w:pStyle w:val="Normal"/>
        <w:widowControl/>
        <w:rPr/>
      </w:pPr>
      <w:r>
        <w:rPr>
          <w:rFonts w:eastAsia="Mendl Sans Dusk Regular" w:cs="Mendl Sans Dusk Regular"/>
          <w:b/>
        </w:rPr>
        <w:t>Fleet governance and lifecycle control</w:t>
      </w:r>
    </w:p>
    <w:p>
      <w:pPr>
        <w:pStyle w:val="Normal"/>
        <w:widowControl/>
        <w:rPr/>
      </w:pPr>
      <w:r>
        <w:rPr>
          <w:rFonts w:eastAsia="Mendl Sans Dusk Regular" w:cs="Mendl Sans Dusk Regular"/>
        </w:rPr>
        <w:t>Effective August 2026. This integration controls where it conflicts with earlier fleet, equipment, warehouse, or maintenance language in this document.</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EQ-08.0 Command authority</w:t>
      </w:r>
    </w:p>
    <w:p>
      <w:pPr>
        <w:pStyle w:val="Normal"/>
        <w:widowControl/>
        <w:rPr/>
      </w:pPr>
      <w:r>
        <w:rPr>
          <w:rFonts w:eastAsia="Mendl Sans Dusk Regular" w:cs="Mendl Sans Dusk Regular"/>
        </w:rPr>
        <w:t>CEO &gt; COO &gt; Chief Superintendent &gt; Fleet Commander &gt; Mechanics and Operators. If a position is vacant or unavailable, authority moves to the next available position above it in this chain.</w:t>
      </w:r>
    </w:p>
    <w:p>
      <w:pPr>
        <w:pStyle w:val="Normal"/>
        <w:widowControl/>
        <w:rPr/>
      </w:pPr>
      <w:r>
        <w:rPr>
          <w:rFonts w:eastAsia="Mendl Sans Dusk Regular" w:cs="Mendl Sans Dusk Regular"/>
        </w:rPr>
        <w:t>The Fleet Commander owns asset identification, assignments, inspections, maintenance planning, vendor coordination, out-of-service controls, return-to-service acceptance, registrations, insurance evidence, and fleet record completeness.</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EQ-09.0 Systems and records</w:t>
      </w:r>
    </w:p>
    <w:p>
      <w:pPr>
        <w:pStyle w:val="Normal"/>
        <w:widowControl/>
        <w:rPr/>
      </w:pPr>
      <w:r>
        <w:rPr>
          <w:rFonts w:eastAsia="Mendl Sans Dusk Regular" w:cs="Mendl Sans Dusk Regular"/>
        </w:rPr>
        <w:t>The Field Command Center is the live operational system of record. Sage 100 controls acquisition cost, capitalization, depreciation, liens, insurance, fuel, maintenance cost, job cost, and disposition value. The in-house server retains approved records and locked hard copies are maintained when required. Procore receives project assignment and job-execution records without replacing either system of record.</w:t>
      </w:r>
    </w:p>
    <w:p>
      <w:pPr>
        <w:pStyle w:val="ListBullet"/>
        <w:widowControl/>
        <w:numPr>
          <w:ilvl w:val="0"/>
          <w:numId w:val="1"/>
        </w:numPr>
        <w:rPr/>
      </w:pPr>
      <w:r>
        <w:rPr>
          <w:rFonts w:eastAsia="Mendl Sans Dusk Regular" w:cs="Mendl Sans Dusk Regular"/>
        </w:rPr>
        <w:t>Use permanent MHC asset IDs and QR codes.</w:t>
      </w:r>
    </w:p>
    <w:p>
      <w:pPr>
        <w:pStyle w:val="ListBullet"/>
        <w:widowControl/>
        <w:numPr>
          <w:ilvl w:val="0"/>
          <w:numId w:val="1"/>
        </w:numPr>
        <w:rPr/>
      </w:pPr>
      <w:r>
        <w:rPr>
          <w:rFonts w:eastAsia="Mendl Sans Dusk Regular" w:cs="Mendl Sans Dusk Regular"/>
        </w:rPr>
        <w:t>Use employee IDs in operational assignment records; governed manuals identify positions, not individual employees.</w:t>
      </w:r>
    </w:p>
    <w:p>
      <w:pPr>
        <w:pStyle w:val="ListBullet"/>
        <w:widowControl/>
        <w:numPr>
          <w:ilvl w:val="0"/>
          <w:numId w:val="1"/>
        </w:numPr>
        <w:rPr/>
      </w:pPr>
      <w:r>
        <w:rPr>
          <w:rFonts w:eastAsia="Mendl Sans Dusk Regular" w:cs="Mendl Sans Dusk Regular"/>
        </w:rPr>
        <w:t>Maintain separate active, rental, small-tool, attachment, and disposed-asset registers linked through the same asset architecture.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EQ-10.0 Preventive maintenance</w:t>
      </w:r>
    </w:p>
    <w:p>
      <w:pPr>
        <w:pStyle w:val="Normal"/>
        <w:widowControl/>
        <w:rPr/>
      </w:pPr>
      <w:r>
        <w:rPr>
          <w:rFonts w:eastAsia="Mendl Sans Dusk Regular" w:cs="Mendl Sans Dusk Regular"/>
        </w:rPr>
        <w:t>Service is due at the earliest applicable manufacturer, mileage, engine-hour, calendar, inspection-defect, or operating-condition trigger. Operators report readings and defects; the Fleet Commander schedules, verifies, and closes the work order.</w:t>
      </w:r>
    </w:p>
    <w:p>
      <w:pPr>
        <w:pStyle w:val="ListBullet"/>
        <w:widowControl/>
        <w:numPr>
          <w:ilvl w:val="0"/>
          <w:numId w:val="1"/>
        </w:numPr>
        <w:rPr/>
      </w:pPr>
      <w:r>
        <w:rPr>
          <w:rFonts w:eastAsia="Mendl Sans Dusk Regular" w:cs="Mendl Sans Dusk Regular"/>
        </w:rPr>
        <w:t>Torque Mobile performs planned fluid service and tire rotations at the shop for Superintendent and Foreman trucks during the every-other-Thursday Superintendent meeting.</w:t>
      </w:r>
    </w:p>
    <w:p>
      <w:pPr>
        <w:pStyle w:val="ListBullet"/>
        <w:widowControl/>
        <w:numPr>
          <w:ilvl w:val="0"/>
          <w:numId w:val="1"/>
        </w:numPr>
        <w:rPr/>
      </w:pPr>
      <w:r>
        <w:rPr>
          <w:rFonts w:eastAsia="Mendl Sans Dusk Regular" w:cs="Mendl Sans Dusk Regular"/>
        </w:rPr>
        <w:t>Valvoline and other approved providers may perform outsourced mechanical service under a Fleet Commander work order.</w:t>
      </w:r>
    </w:p>
    <w:p>
      <w:pPr>
        <w:pStyle w:val="ListBullet"/>
        <w:widowControl/>
        <w:numPr>
          <w:ilvl w:val="0"/>
          <w:numId w:val="1"/>
        </w:numPr>
        <w:rPr/>
      </w:pPr>
      <w:r>
        <w:rPr>
          <w:rFonts w:eastAsia="Mendl Sans Dusk Regular" w:cs="Mendl Sans Dusk Regular"/>
        </w:rPr>
        <w:t>No asset returns to service until the Fleet Commander or qualified designee records acceptance, restrictions, next-service trigger, and supporting invoice or service report.</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EQ-11.0 Financial and lifecycle control</w:t>
      </w:r>
    </w:p>
    <w:p>
      <w:pPr>
        <w:pStyle w:val="Normal"/>
        <w:widowControl/>
        <w:rPr/>
      </w:pPr>
      <w:r>
        <w:rPr>
          <w:rFonts w:eastAsia="Mendl Sans Dusk Regular" w:cs="Mendl Sans Dusk Regular"/>
        </w:rPr>
        <w:t>Every owned, leased, rented, or disposed asset must reconcile to Sage 100 and the Field Command Center. Sold or scrapped assets remain in a disposition register and are never deleted from history.</w:t>
      </w:r>
    </w:p>
    <w:p>
      <w:pPr>
        <w:pStyle w:val="ListBullet"/>
        <w:widowControl/>
        <w:numPr>
          <w:ilvl w:val="0"/>
          <w:numId w:val="1"/>
        </w:numPr>
        <w:rPr/>
      </w:pPr>
      <w:r>
        <w:rPr>
          <w:rFonts w:eastAsia="Mendl Sans Dusk Regular" w:cs="Mendl Sans Dusk Regular"/>
        </w:rPr>
        <w:t>Record acquisition, title, lien, insurance, warranty, fuel, repair, depreciation, utilization, transfer, and disposition data.</w:t>
      </w:r>
    </w:p>
    <w:p>
      <w:pPr>
        <w:pStyle w:val="ListBullet"/>
        <w:widowControl/>
        <w:numPr>
          <w:ilvl w:val="0"/>
          <w:numId w:val="1"/>
        </w:numPr>
        <w:rPr/>
      </w:pPr>
      <w:r>
        <w:rPr>
          <w:rFonts w:eastAsia="Mendl Sans Dusk Regular" w:cs="Mendl Sans Dusk Regular"/>
        </w:rPr>
        <w:t>Code rentals and operating costs to the benefiting project or overhead cost code.</w:t>
      </w:r>
      <w:r>
        <w:br w:type="page"/>
      </w:r>
    </w:p>
    <w:p>
      <w:pPr>
        <w:pStyle w:val="Heading1"/>
        <w:keepNext w:val="true"/>
        <w:widowControl/>
        <w:spacing w:before="0" w:after="160"/>
        <w:rPr/>
      </w:pPr>
      <w:r>
        <w:rPr>
          <w:rFonts w:eastAsia="Mendl Sans Dusk Bold" w:cs="Mendl Sans Dusk Bold" w:ascii="Mendl Sans Dusk Bold" w:hAnsi="Mendl Sans Dusk Bold"/>
          <w:b/>
          <w:color w:val="386851"/>
          <w:sz w:val="32"/>
        </w:rPr>
        <w:t>CLOSED LOGIC DECISIONS | 2026-08-04</w:t>
      </w:r>
    </w:p>
    <w:p>
      <w:pPr>
        <w:pStyle w:val="Normal"/>
        <w:widowControl/>
        <w:rPr/>
      </w:pPr>
      <w:r>
        <w:rPr>
          <w:rFonts w:eastAsia="Mendl Sans Dusk Regular" w:cs="Mendl Sans Dusk Regular"/>
        </w:rPr>
        <w:t>Fleet Commander is the sole formal title. The COO acts as Fleet Commander until filled. Fleet Commander controls vehicles, trailers, maintenance, registrations, insurance, asset records, and fleet availability. Chief Superintendent controls operators, assignments, deployment, and the final operational check following safety-critical repair.</w:t>
      </w:r>
    </w:p>
    <w:p>
      <w:pPr>
        <w:pStyle w:val="Normal"/>
        <w:widowControl/>
        <w:rPr/>
      </w:pPr>
      <w:r>
        <w:rPr>
          <w:rFonts w:eastAsia="Mendl Sans Dusk Regular" w:cs="Mendl Sans Dusk Regular"/>
        </w:rPr>
        <w:t>Anyone may place unsafe equipment out of service through the controlled process. The dashboard must immediately notify affected roles, create repair procedures, and forecast downtime. Fleet Commander verifies repair and administrative closeout first; Chief Superintendent verifies operational return second.</w:t>
      </w:r>
    </w:p>
    <w:p>
      <w:pPr>
        <w:pStyle w:val="Normal"/>
        <w:widowControl/>
        <w:rPr/>
      </w:pPr>
      <w:r>
        <w:rPr>
          <w:rFonts w:eastAsia="Mendl Sans Dusk Regular" w:cs="Mendl Sans Dusk Regular"/>
        </w:rPr>
        <w:t>Spending limits per event: Mechanic $500; Fleet Commander $2,500; COO $10,000; CEO above $10,000. Emergency temporary limits: Mechanic $1,000 and Fleet Commander $5,000, with next-level notice within 24 hours. One vehicle is controlled by one work order; related work may not be split to avoid approval.</w:t>
      </w:r>
    </w:p>
    <w:p>
      <w:pPr>
        <w:pStyle w:val="Normal"/>
        <w:widowControl/>
        <w:spacing w:before="0" w:after="120"/>
        <w:rPr/>
      </w:pPr>
      <w:r>
        <w:rPr>
          <w:rFonts w:eastAsia="Mendl Sans Dusk Regular" w:cs="Mendl Sans Dusk Regular"/>
        </w:rPr>
        <w:t>Valvoline is limited to basic repairs and fluid flushes and does not perform tire rotations. Torque Mobile performs approved fluid service and tire rotations during planned shop events. Every outsourced service requires a work order, provider evidence, meter reading, invoice, next-service trigger, and release record.</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13</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63E7874-2CAC-4105-9050-831B4C70A195}"/>
</file>

<file path=customXml/itemProps2.xml><?xml version="1.0" encoding="utf-8"?>
<ds:datastoreItem xmlns:ds="http://schemas.openxmlformats.org/officeDocument/2006/customXml" ds:itemID="{39D848FE-F314-43D0-B653-C49561382527}"/>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A74BD7D-A660-4DE9-A280-D792278E4625}"/>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13</Pages>
  <Words>931</Words>
  <Characters>6047</Characters>
  <CharactersWithSpaces>6904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2026-08-05T19:38:59Z</dcterms:modified>
  <cp:revision>8</cp:revision>
  <dc:subject>MH Ecosystem Version 1.0 Draft</dc:subject>
  <dc:title>MH Equipment Fleet Management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