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EHB-F-08.2 | Grievance Appeal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EMPLOYEE HANDBOOK AND FORMS</w:t>
              <w:br/>
              <w:t>Document title: EHB-F-08.2 | Grievance Appeal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EHB-F-08.2 | GRIEVANCE AND APPEAL FORM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HR Director or CFO.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Employee Name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Date of Incident/Action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Description of Grievance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Requested Resolution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Date Submitted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HR Review Date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96B6A7-FBEC-41DE-8731-314D770EFCAF}"/>
</file>

<file path=customXml/itemProps3.xml><?xml version="1.0" encoding="utf-8"?>
<ds:datastoreItem xmlns:ds="http://schemas.openxmlformats.org/officeDocument/2006/customXml" ds:itemID="{31EBE535-A596-44B3-AB9F-2461171ECB40}"/>
</file>

<file path=customXml/itemProps4.xml><?xml version="1.0" encoding="utf-8"?>
<ds:datastoreItem xmlns:ds="http://schemas.openxmlformats.org/officeDocument/2006/customXml" ds:itemID="{5908D3F1-B03C-452A-ABBA-64C1685769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199</Words>
  <Characters>1102</Characters>
  <CharactersWithSpaces>1278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EHB-F-08.2 | Grievance Appeal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2026-08-05T19:39:33Z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