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EHB-F-10.2 | Performance Review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EHB-F-10.2 | Performance Review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EHB-F-10.2 | EMPLOYEE PERFORMANCE REVIEW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Review Period (30/60/90/Annual)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Supervisor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Technical Execution Score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Safety Compliance Score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Goals for Next Period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87784E-BE8B-46EA-8AFC-37E4B65635F2}"/>
</file>

<file path=customXml/itemProps3.xml><?xml version="1.0" encoding="utf-8"?>
<ds:datastoreItem xmlns:ds="http://schemas.openxmlformats.org/officeDocument/2006/customXml" ds:itemID="{DEEEF02E-39E6-4F51-B8DE-124ED52A18C5}"/>
</file>

<file path=customXml/itemProps4.xml><?xml version="1.0" encoding="utf-8"?>
<ds:datastoreItem xmlns:ds="http://schemas.openxmlformats.org/officeDocument/2006/customXml" ds:itemID="{1CEBECBA-A4E7-4261-A4E7-8973F0A8F1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199</Words>
  <Characters>1123</Characters>
  <CharactersWithSpaces>1299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EHB-F-10.2 | Performance Review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