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MH CONSTRUCTION, INC.</w:t>
      </w:r>
    </w:p>
    <w:p>
      <w:pPr>
        <w:jc w:val="center"/>
      </w:pPr>
      <w:r>
        <w:t>Industrial Safety &amp; Health Program (MISH)</w:t>
      </w:r>
    </w:p>
    <w:p>
      <w:pPr>
        <w:jc w:val="center"/>
      </w:pPr>
      <w:r>
        <w:t>MISH 15 | Lock and Tag</w:t>
      </w:r>
    </w:p>
    <w:p>
      <w:pPr>
        <w:jc w:val="center"/>
      </w:pPr>
      <w:r>
        <w:t>Revision 3 | Effective: 04/07/2026 | Safety Officer: Matt Ramsey</w:t>
      </w:r>
    </w:p>
    <w:p>
      <w:r>
        <w:t>——————————————————————————————————————————————————</w:t>
      </w:r>
    </w:p>
    <w:p>
      <w:pPr>
        <w:pStyle w:val="Heading1"/>
      </w:pPr>
      <w:r>
        <w:t>Regulatory Authority</w:t>
      </w:r>
    </w:p>
    <w:tbl>
      <w:tblPr>
        <w:tblW w:type="auto" w:w="0"/>
        <w:tblLayout w:type="autofit"/>
        <w:tblLook w:firstColumn="1" w:firstRow="1" w:lastColumn="0" w:lastRow="0" w:noHBand="0" w:noVBand="1" w:val="04A0"/>
      </w:tblPr>
      <w:tblGrid>
        <w:gridCol w:w="3000"/>
        <w:gridCol w:w="3000"/>
        <w:gridCol w:w="3000"/>
      </w:tblGrid>
      <w:tr>
        <w:tc>
          <w:tcPr>
            <w:tcW w:type="dxa" w:w="3000"/>
            <w:vAlign w:val="center"/>
          </w:tcPr>
          <w:p>
            <w:r>
              <w:rPr>
                <w:b/>
              </w:rPr>
              <w:t>Authority</w:t>
            </w:r>
          </w:p>
        </w:tc>
        <w:tc>
          <w:tcPr>
            <w:tcW w:type="dxa" w:w="3000"/>
            <w:vAlign w:val="center"/>
          </w:tcPr>
          <w:p>
            <w:r>
              <w:rPr>
                <w:b/>
              </w:rPr>
              <w:t>Citation</w:t>
            </w:r>
          </w:p>
        </w:tc>
        <w:tc>
          <w:tcPr>
            <w:tcW w:type="dxa" w:w="3000"/>
            <w:vAlign w:val="center"/>
          </w:tcPr>
          <w:p>
            <w:r>
              <w:rPr>
                <w:b/>
              </w:rPr>
              <w:t>Title/Description</w:t>
            </w:r>
          </w:p>
        </w:tc>
      </w:tr>
      <w:tr>
        <w:tc>
          <w:tcPr>
            <w:tcW w:type="dxa" w:w="3000"/>
          </w:tcPr>
          <w:p>
            <w:r>
              <w:t>OSHA</w:t>
            </w:r>
          </w:p>
        </w:tc>
        <w:tc>
          <w:tcPr>
            <w:tcW w:type="dxa" w:w="3000"/>
          </w:tcPr>
          <w:p>
            <w:r>
              <w:t>29 CFR 1910.147</w:t>
            </w:r>
          </w:p>
        </w:tc>
        <w:tc>
          <w:tcPr>
            <w:tcW w:type="dxa" w:w="3000"/>
          </w:tcPr>
          <w:p>
            <w:r>
              <w:t>Control of Hazardous Energy (Lockout/Tagout)</w:t>
            </w:r>
          </w:p>
        </w:tc>
      </w:tr>
      <w:tr>
        <w:tc>
          <w:tcPr>
            <w:tcW w:type="dxa" w:w="3000"/>
          </w:tcPr>
          <w:p>
            <w:r>
              <w:t>OSHA</w:t>
            </w:r>
          </w:p>
        </w:tc>
        <w:tc>
          <w:tcPr>
            <w:tcW w:type="dxa" w:w="3000"/>
          </w:tcPr>
          <w:p>
            <w:r>
              <w:t>29 CFR 1926.417</w:t>
            </w:r>
          </w:p>
        </w:tc>
        <w:tc>
          <w:tcPr>
            <w:tcW w:type="dxa" w:w="3000"/>
          </w:tcPr>
          <w:p>
            <w:r>
              <w:t>Lockout and Tagging of Circuits</w:t>
            </w:r>
          </w:p>
        </w:tc>
      </w:tr>
      <w:tr>
        <w:tc>
          <w:tcPr>
            <w:tcW w:type="dxa" w:w="3000"/>
          </w:tcPr>
          <w:p>
            <w:r>
              <w:t>WISHA</w:t>
            </w:r>
          </w:p>
        </w:tc>
        <w:tc>
          <w:tcPr>
            <w:tcW w:type="dxa" w:w="3000"/>
          </w:tcPr>
          <w:p>
            <w:r>
              <w:t>WAC 296-803</w:t>
            </w:r>
          </w:p>
        </w:tc>
        <w:tc>
          <w:tcPr>
            <w:tcW w:type="dxa" w:w="3000"/>
          </w:tcPr>
          <w:p>
            <w:r>
              <w:t>Lockout/Tagout</w:t>
            </w:r>
          </w:p>
        </w:tc>
      </w:tr>
      <w:tr>
        <w:tc>
          <w:tcPr>
            <w:tcW w:type="dxa" w:w="3000"/>
          </w:tcPr>
          <w:p>
            <w:r>
              <w:t>WISHA</w:t>
            </w:r>
          </w:p>
        </w:tc>
        <w:tc>
          <w:tcPr>
            <w:tcW w:type="dxa" w:w="3000"/>
          </w:tcPr>
          <w:p>
            <w:r>
              <w:t>WAC 296-155-429</w:t>
            </w:r>
          </w:p>
        </w:tc>
        <w:tc>
          <w:tcPr>
            <w:tcW w:type="dxa" w:w="3000"/>
          </w:tcPr>
          <w:p>
            <w:r>
              <w:t>Lockout and Tagging of Circuits</w:t>
            </w:r>
          </w:p>
        </w:tc>
      </w:tr>
      <w:tr>
        <w:tc>
          <w:tcPr>
            <w:tcW w:type="dxa" w:w="3000"/>
          </w:tcPr>
          <w:p>
            <w:r>
              <w:t>AGC</w:t>
            </w:r>
          </w:p>
        </w:tc>
        <w:tc>
          <w:tcPr>
            <w:tcW w:type="dxa" w:w="3000"/>
          </w:tcPr>
          <w:p>
            <w:r>
              <w:t>Ch. 10</w:t>
            </w:r>
          </w:p>
        </w:tc>
        <w:tc>
          <w:tcPr>
            <w:tcW w:type="dxa" w:w="3000"/>
          </w:tcPr>
          <w:p>
            <w:r>
              <w:t>LOTO (Safety and Health Manual)</w:t>
            </w:r>
          </w:p>
        </w:tc>
      </w:tr>
    </w:tbl>
    <w:p>
      <w:pPr>
        <w:pStyle w:val="Heading1"/>
      </w:pPr>
      <w:r>
        <w:t>Purpose</w:t>
      </w:r>
    </w:p>
    <w:p>
      <w:r>
        <w:t>This policy establishes minimum performance requirements for the control of hazardous energy during servicing and maintenance of machines and equipment. It aims to prevent unexpected energization, startup, or release of stored energy that could cause injury to employees. Adherence to these procedures protects personnel from serious harm or fatality.</w:t>
      </w:r>
    </w:p>
    <w:p>
      <w:pPr>
        <w:pStyle w:val="Heading1"/>
      </w:pPr>
      <w:r>
        <w:t>Scope</w:t>
      </w:r>
    </w:p>
    <w:p>
      <w:r>
        <w:t>This program applies to all MH Construction, Inc. employees, subcontractors, and visitors who may be exposed to hazardous energy sources during the servicing and maintenance of machines, equipment, or systems on any MH Construction job site or facility.</w:t>
      </w:r>
    </w:p>
    <w:p>
      <w:pPr>
        <w:pStyle w:val="Heading1"/>
      </w:pPr>
      <w:r>
        <w:t>Definitions</w:t>
      </w:r>
    </w:p>
    <w:tbl>
      <w:tblPr>
        <w:tblW w:type="auto" w:w="0"/>
        <w:tblLayout w:type="autofit"/>
        <w:tblLook w:firstColumn="1" w:firstRow="1" w:lastColumn="0" w:lastRow="0" w:noHBand="0" w:noVBand="1" w:val="04A0"/>
      </w:tblPr>
      <w:tblGrid>
        <w:gridCol w:w="4500"/>
        <w:gridCol w:w="4500"/>
      </w:tblGrid>
      <w:tr>
        <w:tc>
          <w:tcPr>
            <w:tcW w:type="dxa" w:w="4500"/>
            <w:vAlign w:val="center"/>
          </w:tcPr>
          <w:p>
            <w:r>
              <w:rPr>
                <w:b/>
              </w:rPr>
              <w:t>Term</w:t>
            </w:r>
          </w:p>
        </w:tc>
        <w:tc>
          <w:tcPr>
            <w:tcW w:type="dxa" w:w="4500"/>
            <w:vAlign w:val="center"/>
          </w:tcPr>
          <w:p>
            <w:r>
              <w:rPr>
                <w:b/>
              </w:rPr>
              <w:t>Definition</w:t>
            </w:r>
          </w:p>
        </w:tc>
      </w:tr>
      <w:tr>
        <w:tc>
          <w:tcPr>
            <w:tcW w:type="dxa" w:w="4500"/>
          </w:tcPr>
          <w:p>
            <w:r>
              <w:t>Affected Employee</w:t>
            </w:r>
          </w:p>
        </w:tc>
        <w:tc>
          <w:tcPr>
            <w:tcW w:type="dxa" w:w="4500"/>
          </w:tcPr>
          <w:p>
            <w:r>
              <w:t>An employee whose job requires him/her to operate or use a machine or equipment on which servicing or maintenance is being performed under lockout or tagout, or whose job requires him/her to work in an area in which such servicing or maintenance is being performed.</w:t>
            </w:r>
          </w:p>
        </w:tc>
      </w:tr>
      <w:tr>
        <w:tc>
          <w:tcPr>
            <w:tcW w:type="dxa" w:w="4500"/>
          </w:tcPr>
          <w:p>
            <w:r>
              <w:t>Authorized Employee</w:t>
            </w:r>
          </w:p>
        </w:tc>
        <w:tc>
          <w:tcPr>
            <w:tcW w:type="dxa" w:w="4500"/>
          </w:tcPr>
          <w:p>
            <w:r>
              <w:t>A person who locks out or tags out machines or equipment in order to perform servicing or maintenance on that machine or equipment.</w:t>
            </w:r>
          </w:p>
        </w:tc>
      </w:tr>
      <w:tr>
        <w:tc>
          <w:tcPr>
            <w:tcW w:type="dxa" w:w="4500"/>
          </w:tcPr>
          <w:p>
            <w:r>
              <w:t>Energized</w:t>
            </w:r>
          </w:p>
        </w:tc>
        <w:tc>
          <w:tcPr>
            <w:tcW w:type="dxa" w:w="4500"/>
          </w:tcPr>
          <w:p>
            <w:r>
              <w:t>Connected to an energy source or containing residual or stored energy.</w:t>
            </w:r>
          </w:p>
        </w:tc>
      </w:tr>
      <w:tr>
        <w:tc>
          <w:tcPr>
            <w:tcW w:type="dxa" w:w="4500"/>
          </w:tcPr>
          <w:p>
            <w:r>
              <w:t>Energy Isolating Device</w:t>
            </w:r>
          </w:p>
        </w:tc>
        <w:tc>
          <w:tcPr>
            <w:tcW w:type="dxa" w:w="4500"/>
          </w:tcPr>
          <w:p>
            <w:r>
              <w:t>A mechanical device that physically prevents the transmission or release of energy, including but not limited to manually operated electrical circuit breakers, disconnect switches, line valves, and blocks.</w:t>
            </w:r>
          </w:p>
        </w:tc>
      </w:tr>
      <w:tr>
        <w:tc>
          <w:tcPr>
            <w:tcW w:type="dxa" w:w="4500"/>
          </w:tcPr>
          <w:p>
            <w:r>
              <w:t>Lockout/Tagout (LOTO)</w:t>
            </w:r>
          </w:p>
        </w:tc>
        <w:tc>
          <w:tcPr>
            <w:tcW w:type="dxa" w:w="4500"/>
          </w:tcPr>
          <w:p>
            <w:r>
              <w:t>The placement of a lockout device or tagout device on an energy isolating device, in accordance with an established procedure, to ensure that the energy isolating device and the equipment being controlled cannot be operated until the lockout or tagout device is removed.</w:t>
            </w:r>
          </w:p>
        </w:tc>
      </w:tr>
    </w:tbl>
    <w:p>
      <w:pPr>
        <w:pStyle w:val="Heading1"/>
      </w:pPr>
      <w:r>
        <w:t>Responsibilities</w:t>
      </w:r>
    </w:p>
    <w:p>
      <w:pPr>
        <w:pStyle w:val="Heading2"/>
      </w:pPr>
      <w:r>
        <w:t>Company/Management Responsibilities</w:t>
      </w:r>
    </w:p>
    <w:p>
      <w:pPr>
        <w:pStyle w:val="ListBullet"/>
      </w:pPr>
      <w:r>
        <w:rPr>
          <w:b/>
        </w:rPr>
        <w:t>Develop, implement, and maintain the Lockout/Tagout program.</w:t>
      </w:r>
    </w:p>
    <w:p>
      <w:pPr>
        <w:pStyle w:val="ListBullet"/>
      </w:pPr>
      <w:r>
        <w:rPr>
          <w:b/>
        </w:rPr>
        <w:t>Provide necessary lockout/tagout devices and equipment.</w:t>
      </w:r>
    </w:p>
    <w:p>
      <w:pPr>
        <w:pStyle w:val="ListBullet"/>
      </w:pPr>
      <w:r>
        <w:rPr>
          <w:b/>
        </w:rPr>
        <w:t>Ensure adequate training is provided to all affected and authorized employees.</w:t>
      </w:r>
    </w:p>
    <w:p>
      <w:pPr>
        <w:pStyle w:val="ListBullet"/>
      </w:pPr>
      <w:r>
        <w:rPr>
          <w:b/>
        </w:rPr>
        <w:t>Conduct periodic inspections of the energy control procedures.</w:t>
      </w:r>
    </w:p>
    <w:p>
      <w:pPr>
        <w:pStyle w:val="Heading2"/>
      </w:pPr>
      <w:r>
        <w:t>Supervisor/Foreman Responsibilities</w:t>
      </w:r>
    </w:p>
    <w:p>
      <w:pPr>
        <w:pStyle w:val="ListBullet"/>
      </w:pPr>
      <w:r>
        <w:rPr>
          <w:b/>
        </w:rPr>
        <w:t>Ensure employees understand and follow LOTO procedures.</w:t>
      </w:r>
    </w:p>
    <w:p>
      <w:pPr>
        <w:pStyle w:val="ListBullet"/>
      </w:pPr>
      <w:r>
        <w:rPr>
          <w:b/>
        </w:rPr>
        <w:t>Identify all energy sources for equipment under their supervision.</w:t>
      </w:r>
    </w:p>
    <w:p>
      <w:pPr>
        <w:pStyle w:val="ListBullet"/>
      </w:pPr>
      <w:r>
        <w:rPr>
          <w:b/>
        </w:rPr>
        <w:t>Verify that all energy sources are properly isolated and de-energized before work begins.</w:t>
      </w:r>
    </w:p>
    <w:p>
      <w:pPr>
        <w:pStyle w:val="ListBullet"/>
      </w:pPr>
      <w:r>
        <w:rPr>
          <w:b/>
        </w:rPr>
        <w:t>Provide specific training and guidance to employees under their direction.</w:t>
      </w:r>
    </w:p>
    <w:p>
      <w:pPr>
        <w:pStyle w:val="Heading2"/>
      </w:pPr>
      <w:r>
        <w:t>Employee Responsibilities</w:t>
      </w:r>
    </w:p>
    <w:p>
      <w:pPr>
        <w:pStyle w:val="ListBullet"/>
      </w:pPr>
      <w:r>
        <w:rPr>
          <w:b/>
        </w:rPr>
        <w:t>Comply with all LOTO procedures and instructions.</w:t>
      </w:r>
    </w:p>
    <w:p>
      <w:pPr>
        <w:pStyle w:val="ListBullet"/>
      </w:pPr>
      <w:r>
        <w:rPr>
          <w:b/>
        </w:rPr>
        <w:t>Never remove another employee's lock or tag.</w:t>
      </w:r>
    </w:p>
    <w:p>
      <w:pPr>
        <w:pStyle w:val="ListBullet"/>
      </w:pPr>
      <w:r>
        <w:rPr>
          <w:b/>
        </w:rPr>
        <w:t>Report any unsafe conditions or deviations from LOTO procedures.</w:t>
      </w:r>
    </w:p>
    <w:p>
      <w:pPr>
        <w:pStyle w:val="ListBullet"/>
      </w:pPr>
      <w:r>
        <w:rPr>
          <w:b/>
        </w:rPr>
        <w:t>Participate in all required LOTO training.</w:t>
      </w:r>
    </w:p>
    <w:p>
      <w:pPr>
        <w:pStyle w:val="Heading2"/>
      </w:pPr>
      <w:r>
        <w:t>Subcontractor Responsibilities</w:t>
      </w:r>
    </w:p>
    <w:p>
      <w:pPr>
        <w:pStyle w:val="ListBullet"/>
      </w:pPr>
      <w:r>
        <w:rPr>
          <w:b/>
        </w:rPr>
        <w:t>Adhere to MH Construction's LOTO program or provide their own equivalent program for review and approval.</w:t>
      </w:r>
    </w:p>
    <w:p>
      <w:pPr>
        <w:pStyle w:val="ListBullet"/>
      </w:pPr>
      <w:r>
        <w:rPr>
          <w:b/>
        </w:rPr>
        <w:t>Ensure their employees are trained and follow LOTO procedures.</w:t>
      </w:r>
    </w:p>
    <w:p>
      <w:pPr>
        <w:pStyle w:val="ListBullet"/>
      </w:pPr>
      <w:r>
        <w:rPr>
          <w:b/>
        </w:rPr>
        <w:t>Coordinate all LOTO activities with MH Construction's site supervisor.</w:t>
      </w:r>
    </w:p>
    <w:p>
      <w:pPr>
        <w:pStyle w:val="Heading1"/>
      </w:pPr>
      <w:r>
        <w:t>Procedures / Requirements</w:t>
      </w:r>
    </w:p>
    <w:p>
      <w:pPr>
        <w:pStyle w:val="Heading2"/>
      </w:pPr>
      <w:r>
        <w:t>7.1 General Requirements</w:t>
      </w:r>
    </w:p>
    <w:p>
      <w:r>
        <w:t>MH Construction, Inc. shall establish a program consisting of energy control procedures, employee training, and periodic inspections to ensure that before any employee performs any servicing or maintenance on a machine or equipment where the unexpected energization or startup of the machine or equipment, or release of stored energy could cause injury, the machine or equipment shall be isolated from the energy source and rendered inoperative. Per 29 CFR 1910.147(c)(1) and WAC 296-803-200.</w:t>
      </w:r>
    </w:p>
    <w:p>
      <w:pPr>
        <w:pStyle w:val="Heading2"/>
      </w:pPr>
      <w:r>
        <w:t>7.2 Lockout/Tagout Devices</w:t>
      </w:r>
    </w:p>
    <w:p>
      <w:pPr>
        <w:pStyle w:val="ListNumber"/>
      </w:pPr>
      <w:r>
        <w:rPr>
          <w:b/>
        </w:rPr>
        <w:t>Lockout devices and tagout devices shall be singularly identified, be the only devices used for controlling energy, not be used for other purposes, and meet the following requirements:</w:t>
      </w:r>
    </w:p>
    <w:p>
      <w:pPr>
        <w:pStyle w:val="ListBullet"/>
      </w:pPr>
      <w:r>
        <w:rPr>
          <w:b/>
        </w:rPr>
        <w:t>Durable: Capable of withstanding the environment to which they are exposed for the maximum period of time that exposure is expected.</w:t>
      </w:r>
    </w:p>
    <w:p>
      <w:pPr>
        <w:pStyle w:val="ListBullet"/>
      </w:pPr>
      <w:r>
        <w:rPr>
          <w:b/>
        </w:rPr>
        <w:t>Standardized: Lockout and tagout devices shall be standardized within the facility in at least one of the following criteria: color, shape, or size; and in the case of tagout devices, print and format.</w:t>
      </w:r>
    </w:p>
    <w:p>
      <w:pPr>
        <w:pStyle w:val="ListBullet"/>
      </w:pPr>
      <w:r>
        <w:rPr>
          <w:b/>
        </w:rPr>
        <w:t>Substantial: Lockout devices shall be substantial enough to prevent removal without the use of excessive force or unusual techniques. Tagout devices shall be substantial enough to prevent inadvertent or accidental removal.</w:t>
      </w:r>
    </w:p>
    <w:p>
      <w:pPr>
        <w:pStyle w:val="ListBullet"/>
      </w:pPr>
      <w:r>
        <w:rPr>
          <w:b/>
        </w:rPr>
        <w:t>Identifiable: Lockout devices and tagout devices shall indicate the identity of the employee applying the device.</w:t>
      </w:r>
    </w:p>
    <w:p>
      <w:pPr>
        <w:pStyle w:val="Heading2"/>
      </w:pPr>
      <w:r>
        <w:t>7.3 Energy Control Procedure Development</w:t>
      </w:r>
    </w:p>
    <w:p>
      <w:r>
        <w:t>Specific energy control procedures shall be developed, documented, and utilized for each machine or equipment. These procedures shall clearly and specifically outline the scope, purpose, authorization, rules, and techniques to be utilized for the control of hazardous energy, and the means to enforce compliance. Per 29 CFR 1910.147(c)(4) and WAC 296-803-300.</w:t>
      </w:r>
    </w:p>
    <w:p>
      <w:pPr>
        <w:pStyle w:val="Heading2"/>
      </w:pPr>
      <w:r>
        <w:t>7.4 Application of Control</w:t>
      </w:r>
    </w:p>
    <w:p>
      <w:pPr>
        <w:pStyle w:val="ListNumber"/>
      </w:pPr>
      <w:r>
        <w:rPr>
          <w:b/>
        </w:rPr>
        <w:t>The established procedure for the application of energy control (lockout/tagout) shall include the following steps:</w:t>
      </w:r>
    </w:p>
    <w:p>
      <w:pPr>
        <w:pStyle w:val="ListBullet"/>
      </w:pPr>
      <w:r>
        <w:rPr>
          <w:b/>
        </w:rPr>
        <w:t>Notify all affected employees that servicing or maintenance is required and the machine or equipment must be shut down and locked out/tagged out.</w:t>
      </w:r>
    </w:p>
    <w:p>
      <w:pPr>
        <w:pStyle w:val="ListBullet"/>
      </w:pPr>
      <w:r>
        <w:rPr>
          <w:b/>
        </w:rPr>
        <w:t>The authorized employee shall know the type and magnitude of the energy that the machine or equipment utilizes, the hazards of the energy, and the methods to control the energy.</w:t>
      </w:r>
    </w:p>
    <w:p>
      <w:pPr>
        <w:pStyle w:val="ListBullet"/>
      </w:pPr>
      <w:r>
        <w:rPr>
          <w:b/>
        </w:rPr>
        <w:t>If the machine or equipment is operating, shut it down by the normal stopping procedure (e.g., depress stop button, open switch, etc.).</w:t>
      </w:r>
    </w:p>
    <w:p>
      <w:pPr>
        <w:pStyle w:val="ListBullet"/>
      </w:pPr>
      <w:r>
        <w:rPr>
          <w:b/>
        </w:rPr>
        <w:t>De-activate the energy isolating device(s) so that the machine or equipment is isolated from the energy source(s).</w:t>
      </w:r>
    </w:p>
    <w:p>
      <w:pPr>
        <w:pStyle w:val="ListBullet"/>
      </w:pPr>
      <w:r>
        <w:rPr>
          <w:b/>
        </w:rPr>
        <w:t>Lock out and/or tag out the energy isolating device(s) with assigned individual lockout/tagout devices.</w:t>
      </w:r>
    </w:p>
    <w:p>
      <w:pPr>
        <w:pStyle w:val="ListBullet"/>
      </w:pPr>
      <w:r>
        <w:rPr>
          <w:b/>
        </w:rPr>
        <w:t>Stored or residual energy (e.g., capacitors, springs, elevated machine members, rotating flywheels, hydraulic systems, air, gas, steam, or water pressure, etc.) must be safely relieved, disconnected, restrained, or otherwise rendered safe.</w:t>
      </w:r>
    </w:p>
    <w:p>
      <w:pPr>
        <w:pStyle w:val="ListBullet"/>
      </w:pPr>
      <w:r>
        <w:rPr>
          <w:b/>
        </w:rPr>
        <w:t>After ensuring that no personnel are exposed, the authorized employee shall verify that the isolation and de-energization of the machine or equipment have been accomplished by attempting to operate the machine or equipment.</w:t>
      </w:r>
    </w:p>
    <w:p>
      <w:pPr>
        <w:pStyle w:val="Heading2"/>
      </w:pPr>
      <w:r>
        <w:t>7.5 Release from Lockout/Tagout</w:t>
      </w:r>
    </w:p>
    <w:p>
      <w:pPr>
        <w:pStyle w:val="ListNumber"/>
      </w:pPr>
      <w:r>
        <w:rPr>
          <w:b/>
        </w:rPr>
        <w:t>Before lockout or tagout devices are removed and energy is restored to the machine or equipment, the following steps shall be taken:</w:t>
      </w:r>
    </w:p>
    <w:p>
      <w:pPr>
        <w:pStyle w:val="ListBullet"/>
      </w:pPr>
      <w:r>
        <w:rPr>
          <w:b/>
        </w:rPr>
        <w:t>Inspect the work area to ensure that non-essential items have been removed and that machine or equipment components are operationally intact.</w:t>
      </w:r>
    </w:p>
    <w:p>
      <w:pPr>
        <w:pStyle w:val="ListBullet"/>
      </w:pPr>
      <w:r>
        <w:rPr>
          <w:b/>
        </w:rPr>
        <w:t>Ensure that all employees have been safely positioned or removed from the area.</w:t>
      </w:r>
    </w:p>
    <w:p>
      <w:pPr>
        <w:pStyle w:val="ListBullet"/>
      </w:pPr>
      <w:r>
        <w:rPr>
          <w:b/>
        </w:rPr>
        <w:t>Verify that controls are in neutral or off position.</w:t>
      </w:r>
    </w:p>
    <w:p>
      <w:pPr>
        <w:pStyle w:val="ListBullet"/>
      </w:pPr>
      <w:r>
        <w:rPr>
          <w:b/>
        </w:rPr>
        <w:t>Remove the lockout/tagout devices by the authorized employee who applied them.</w:t>
      </w:r>
    </w:p>
    <w:p>
      <w:pPr>
        <w:pStyle w:val="ListBullet"/>
      </w:pPr>
      <w:r>
        <w:rPr>
          <w:b/>
        </w:rPr>
        <w:t>Notify affected employees that the lockout/tagout devices have been removed and the equipment is ready for use.</w:t>
      </w:r>
    </w:p>
    <w:p>
      <w:pPr>
        <w:pStyle w:val="Heading2"/>
      </w:pPr>
      <w:r>
        <w:t>7.6 Group Lockout/Tagout</w:t>
      </w:r>
    </w:p>
    <w:p>
      <w:r>
        <w:t>When servicing and/or maintenance is performed by a crew, craft, department, or other group, they shall utilize a procedure which affords a level of protection equivalent to that provided by the implementation of a personal lockout or tagout device. Per 29 CFR 1910.147(f)(3) and WAC 296-803-600.</w:t>
      </w:r>
    </w:p>
    <w:p>
      <w:pPr>
        <w:pStyle w:val="Heading2"/>
      </w:pPr>
      <w:r>
        <w:t>7.7 Shift or Personnel Changes</w:t>
      </w:r>
    </w:p>
    <w:p>
      <w:r>
        <w:t>Specific procedures shall be utilized during shift or personnel changes to ensure the continuity of lockout or tagout protection, including the orderly transfer of lockout or tagout devices between off-going and on-coming employees, to minimize exposure to hazards from the unexpected energization or startup of the machine or equipment, or the release of stored energy. Per 29 CFR 1910.147(f)(4) and WAC 296-803-600.</w:t>
      </w:r>
    </w:p>
    <w:p>
      <w:pPr>
        <w:pStyle w:val="Heading1"/>
      </w:pPr>
      <w:r>
        <w:t>Training Requirements</w:t>
      </w:r>
    </w:p>
    <w:p>
      <w:r>
        <w:t>All authorized employees shall receive training in the recognition of hazardous energy sources, the type and magnitude of the energy available in the workplace, and the methods and means necessary for energy isolation and control. All affected employees shall be instructed in the purpose and use of the energy control procedure. Retraining shall be provided for all authorized and affected employees whenever there is a change in job assignments, machines, equipment or processes that present a new hazard, or when there is a change in the energy control procedures. Training shall be documented and maintained by MH Construction, Inc. Per 29 CFR 1910.147(g) and WAC 296-803-700.</w:t>
      </w:r>
    </w:p>
    <w:p>
      <w:pPr>
        <w:pStyle w:val="Heading1"/>
      </w:pPr>
      <w:r>
        <w:t>Inspection and Enforcement</w:t>
      </w:r>
    </w:p>
    <w:p>
      <w:r>
        <w:t>Periodic inspections of the energy control procedure shall be performed at least annually to ensure that the procedure and the requirements of this standard are being followed. The inspection shall be performed by an authorized employee other than the one(s) utilizing the energy control procedure being inspected. Any deviations or inadequacies identified during the inspection shall be corrected immediately. Enforcement of this policy will follow MH Construction's progressive disciplinary action policy.</w:t>
      </w:r>
    </w:p>
    <w:p>
      <w:pPr>
        <w:pStyle w:val="Heading1"/>
      </w:pPr>
      <w:r>
        <w:t>Recordkeeping</w:t>
      </w:r>
    </w:p>
    <w:p>
      <w:r>
        <w:t>MH Construction, Inc. shall maintain records of all employee training, including dates, attendees, and topics covered. Records of periodic inspections of energy control procedures, including the equipment inspected, date of inspection, and employees involved, shall also be maintained. These records shall be retained for a minimum of three years and be readily available for review by regulatory authorities. The Safety Officer is responsible for maintaining these records.</w:t>
      </w:r>
    </w:p>
    <w:p>
      <w:pPr>
        <w:pStyle w:val="Heading1"/>
      </w:pPr>
      <w:r>
        <w:t>Violation Consequences</w:t>
      </w:r>
    </w:p>
    <w:p>
      <w:r>
        <w:t>Failure to comply with the Lockout/Tagout program and procedures will result in disciplinary action, up to and including termination of employment. Subcontractors who fail to comply will be removed from the job site and may face contract termination. The severity of the disciplinary action will depend on the nature and gravity of the violation, as well as any previous infractions.</w:t>
      </w:r>
    </w:p>
    <w:p>
      <w:pPr>
        <w:pStyle w:val="Heading1"/>
      </w:pPr>
      <w:r>
        <w:t>References</w:t>
      </w:r>
    </w:p>
    <w:p>
      <w:r>
        <w:t>OSHA: 29 CFR 1910.147 Control of Hazardous Energy (Lockout/Tagout)</w:t>
      </w:r>
    </w:p>
    <w:p>
      <w:r>
        <w:t>OSHA: 29 CFR 1926.417 Lockout and Tagging of Circuits</w:t>
      </w:r>
    </w:p>
    <w:p>
      <w:r>
        <w:t>WISHA: WAC 296-803 Lockout/Tagout</w:t>
      </w:r>
    </w:p>
    <w:p>
      <w:r>
        <w:t>WISHA: WAC 296-155-429 Lockout and Tagging of Circuits</w:t>
      </w:r>
    </w:p>
    <w:p>
      <w:r>
        <w:t>AGC: Safety and Health Manual Ch. 10 LOTO</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026B4E44-6BDD-4D67-8AA3-0C3FC140BC00}"/>
</file>

<file path=customXml/itemProps3.xml><?xml version="1.0" encoding="utf-8"?>
<ds:datastoreItem xmlns:ds="http://schemas.openxmlformats.org/officeDocument/2006/customXml" ds:itemID="{F44BE8DE-2590-4D57-B59C-6A3EB1A2D96C}"/>
</file>

<file path=customXml/itemProps4.xml><?xml version="1.0" encoding="utf-8"?>
<ds:datastoreItem xmlns:ds="http://schemas.openxmlformats.org/officeDocument/2006/customXml" ds:itemID="{FE6F0019-69A8-437A-91D9-3FA8331E8450}"/>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