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MH CONSTRUCTION, INC.</w:t>
      </w:r>
    </w:p>
    <w:p>
      <w:pPr>
        <w:jc w:val="center"/>
      </w:pPr>
      <w:r>
        <w:rPr>
          <w:rFonts w:ascii="Arial" w:hAnsi="Arial"/>
          <w:b w:val="0"/>
          <w:sz w:val="22"/>
        </w:rPr>
        <w:t>Industrial Safety &amp; Health Program (MISH)</w:t>
      </w:r>
    </w:p>
    <w:p>
      <w:pPr>
        <w:jc w:val="center"/>
      </w:pPr>
      <w:r>
        <w:rPr>
          <w:rFonts w:ascii="Arial" w:hAnsi="Arial"/>
          <w:b w:val="0"/>
          <w:sz w:val="22"/>
        </w:rPr>
        <w:t>MISH 44 | Struck-By and Caught-In/Between Hazard Prevention</w:t>
      </w:r>
    </w:p>
    <w:p>
      <w:pPr>
        <w:jc w:val="center"/>
      </w:pPr>
      <w:r>
        <w:rPr>
          <w:rFonts w:ascii="Arial" w:hAnsi="Arial"/>
          <w:b w:val="0"/>
          <w:sz w:val="22"/>
        </w:rPr>
        <w:t>Revision 3 | Effective: 04/07/2026 | Safety Officer: Matt Ramsey</w:t>
      </w:r>
    </w:p>
    <w:p>
      <w:pPr>
        <w:jc w:val="center"/>
      </w:pPr>
      <w:r>
        <w:br/>
      </w:r>
      <w:r>
        <w:t>――――――――――――――――――――――――――――――――――――――――――――――――――――――――――――――――――――――</w:t>
      </w:r>
      <w:r>
        <w:br/>
      </w:r>
    </w:p>
    <w:p>
      <w:pPr>
        <w:pStyle w:val="Heading1"/>
      </w:pPr>
      <w: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3000"/>
          </w:tcPr>
          <w:p>
            <w:r>
              <w:rPr>
                <w:rFonts w:ascii="Arial" w:hAnsi="Arial"/>
                <w:b w:val="0"/>
                <w:sz w:val="22"/>
              </w:rPr>
              <w:t>OSHA</w:t>
            </w:r>
          </w:p>
        </w:tc>
        <w:tc>
          <w:tcPr>
            <w:tcW w:type="dxa" w:w="3000"/>
          </w:tcPr>
          <w:p>
            <w:r>
              <w:rPr>
                <w:rFonts w:ascii="Arial" w:hAnsi="Arial"/>
                <w:b w:val="0"/>
                <w:sz w:val="22"/>
              </w:rPr>
              <w:t>29 CFR</w:t>
            </w:r>
          </w:p>
        </w:tc>
        <w:tc>
          <w:tcPr>
            <w:tcW w:type="dxa" w:w="3000"/>
          </w:tcPr>
          <w:p>
            <w:r>
              <w:rPr>
                <w:rFonts w:ascii="Arial" w:hAnsi="Arial"/>
                <w:b w:val="0"/>
                <w:sz w:val="22"/>
              </w:rPr>
              <w:t>1926 Subpart O</w:t>
            </w:r>
          </w:p>
        </w:tc>
      </w:tr>
      <w:tr>
        <w:tc>
          <w:tcPr>
            <w:tcW w:type="dxa" w:w="3000"/>
          </w:tcPr>
          <w:p>
            <w:r>
              <w:rPr>
                <w:rFonts w:ascii="Arial" w:hAnsi="Arial"/>
                <w:b w:val="0"/>
                <w:sz w:val="22"/>
              </w:rPr>
              <w:t>OSHA</w:t>
            </w:r>
          </w:p>
        </w:tc>
        <w:tc>
          <w:tcPr>
            <w:tcW w:type="dxa" w:w="3000"/>
          </w:tcPr>
          <w:p>
            <w:r>
              <w:rPr>
                <w:rFonts w:ascii="Arial" w:hAnsi="Arial"/>
                <w:b w:val="0"/>
                <w:sz w:val="22"/>
              </w:rPr>
              <w:t>29 CFR</w:t>
            </w:r>
          </w:p>
        </w:tc>
        <w:tc>
          <w:tcPr>
            <w:tcW w:type="dxa" w:w="3000"/>
          </w:tcPr>
          <w:p>
            <w:r>
              <w:rPr>
                <w:rFonts w:ascii="Arial" w:hAnsi="Arial"/>
                <w:b w:val="0"/>
                <w:sz w:val="22"/>
              </w:rPr>
              <w:t>1926.600 Equipment General</w:t>
            </w:r>
          </w:p>
        </w:tc>
      </w:tr>
      <w:tr>
        <w:tc>
          <w:tcPr>
            <w:tcW w:type="dxa" w:w="3000"/>
          </w:tcPr>
          <w:p>
            <w:r>
              <w:rPr>
                <w:rFonts w:ascii="Arial" w:hAnsi="Arial"/>
                <w:b w:val="0"/>
                <w:sz w:val="22"/>
              </w:rPr>
              <w:t>OSHA</w:t>
            </w:r>
          </w:p>
        </w:tc>
        <w:tc>
          <w:tcPr>
            <w:tcW w:type="dxa" w:w="3000"/>
          </w:tcPr>
          <w:p>
            <w:r>
              <w:rPr>
                <w:rFonts w:ascii="Arial" w:hAnsi="Arial"/>
                <w:b w:val="0"/>
                <w:sz w:val="22"/>
              </w:rPr>
              <w:t>29 CFR</w:t>
            </w:r>
          </w:p>
        </w:tc>
        <w:tc>
          <w:tcPr>
            <w:tcW w:type="dxa" w:w="3000"/>
          </w:tcPr>
          <w:p>
            <w:r>
              <w:rPr>
                <w:rFonts w:ascii="Arial" w:hAnsi="Arial"/>
                <w:b w:val="0"/>
                <w:sz w:val="22"/>
              </w:rPr>
              <w:t>1926.20</w:t>
            </w:r>
          </w:p>
        </w:tc>
      </w:tr>
      <w:tr>
        <w:tc>
          <w:tcPr>
            <w:tcW w:type="dxa" w:w="3000"/>
          </w:tcPr>
          <w:p>
            <w:r>
              <w:rPr>
                <w:rFonts w:ascii="Arial" w:hAnsi="Arial"/>
                <w:b w:val="0"/>
                <w:sz w:val="22"/>
              </w:rPr>
              <w:t>OSHA</w:t>
            </w:r>
          </w:p>
        </w:tc>
        <w:tc>
          <w:tcPr>
            <w:tcW w:type="dxa" w:w="3000"/>
          </w:tcPr>
          <w:p>
            <w:r>
              <w:rPr>
                <w:rFonts w:ascii="Arial" w:hAnsi="Arial"/>
                <w:b w:val="0"/>
                <w:sz w:val="22"/>
              </w:rPr>
              <w:t>OSH Act General Duty Clause Section 5(a)(1)</w:t>
            </w:r>
          </w:p>
        </w:tc>
        <w:tc>
          <w:tcPr>
            <w:tcW w:type="dxa" w:w="3000"/>
          </w:tcPr>
          <w:p>
            <w:r>
              <w:rPr>
                <w:rFonts w:ascii="Arial" w:hAnsi="Arial"/>
                <w:b w:val="0"/>
                <w:sz w:val="22"/>
              </w:rPr>
              <w:t>OSHA Fatal Four - General Duty Clause</w:t>
            </w:r>
          </w:p>
        </w:tc>
      </w:tr>
      <w:tr>
        <w:tc>
          <w:tcPr>
            <w:tcW w:type="dxa" w:w="3000"/>
          </w:tcPr>
          <w:p>
            <w:r>
              <w:rPr>
                <w:rFonts w:ascii="Arial" w:hAnsi="Arial"/>
                <w:b w:val="0"/>
                <w:sz w:val="22"/>
              </w:rPr>
              <w:t>WISHA</w:t>
            </w:r>
          </w:p>
        </w:tc>
        <w:tc>
          <w:tcPr>
            <w:tcW w:type="dxa" w:w="3000"/>
          </w:tcPr>
          <w:p>
            <w:r>
              <w:rPr>
                <w:rFonts w:ascii="Arial" w:hAnsi="Arial"/>
                <w:b w:val="0"/>
                <w:sz w:val="22"/>
              </w:rPr>
              <w:t>WAC 296-155-610</w:t>
            </w:r>
          </w:p>
        </w:tc>
        <w:tc>
          <w:tcPr>
            <w:tcW w:type="dxa" w:w="3000"/>
          </w:tcPr>
          <w:p>
            <w:r>
              <w:rPr>
                <w:rFonts w:ascii="Arial" w:hAnsi="Arial"/>
                <w:b w:val="0"/>
                <w:sz w:val="22"/>
              </w:rPr>
              <w:t>Motor Vehicles on Construction Sites</w:t>
            </w:r>
          </w:p>
        </w:tc>
      </w:tr>
      <w:tr>
        <w:tc>
          <w:tcPr>
            <w:tcW w:type="dxa" w:w="3000"/>
          </w:tcPr>
          <w:p>
            <w:r>
              <w:rPr>
                <w:rFonts w:ascii="Arial" w:hAnsi="Arial"/>
                <w:b w:val="0"/>
                <w:sz w:val="22"/>
              </w:rPr>
              <w:t>WISHA</w:t>
            </w:r>
          </w:p>
        </w:tc>
        <w:tc>
          <w:tcPr>
            <w:tcW w:type="dxa" w:w="3000"/>
          </w:tcPr>
          <w:p>
            <w:r>
              <w:rPr>
                <w:rFonts w:ascii="Arial" w:hAnsi="Arial"/>
                <w:b w:val="0"/>
                <w:sz w:val="22"/>
              </w:rPr>
              <w:t>WAC 296-880</w:t>
            </w:r>
          </w:p>
        </w:tc>
        <w:tc>
          <w:tcPr>
            <w:tcW w:type="dxa" w:w="3000"/>
          </w:tcPr>
          <w:p>
            <w:r>
              <w:rPr>
                <w:rFonts w:ascii="Arial" w:hAnsi="Arial"/>
                <w:b w:val="0"/>
                <w:sz w:val="22"/>
              </w:rPr>
              <w:t>Fall Protection overhead hazards</w:t>
            </w:r>
          </w:p>
        </w:tc>
      </w:tr>
      <w:tr>
        <w:tc>
          <w:tcPr>
            <w:tcW w:type="dxa" w:w="3000"/>
          </w:tcPr>
          <w:p>
            <w:r>
              <w:rPr>
                <w:rFonts w:ascii="Arial" w:hAnsi="Arial"/>
                <w:b w:val="0"/>
                <w:sz w:val="22"/>
              </w:rPr>
              <w:t>WISHA</w:t>
            </w:r>
          </w:p>
        </w:tc>
        <w:tc>
          <w:tcPr>
            <w:tcW w:type="dxa" w:w="3000"/>
          </w:tcPr>
          <w:p>
            <w:r>
              <w:rPr>
                <w:rFonts w:ascii="Arial" w:hAnsi="Arial"/>
                <w:b w:val="0"/>
                <w:sz w:val="22"/>
              </w:rPr>
              <w:t>WAC 296-155-035</w:t>
            </w:r>
          </w:p>
        </w:tc>
        <w:tc>
          <w:tcPr>
            <w:tcW w:type="dxa" w:w="3000"/>
          </w:tcPr>
          <w:p>
            <w:r>
              <w:rPr>
                <w:rFonts w:ascii="Arial" w:hAnsi="Arial"/>
                <w:b w:val="0"/>
                <w:sz w:val="22"/>
              </w:rPr>
              <w:t>General Requirements safe place standards</w:t>
            </w:r>
          </w:p>
        </w:tc>
      </w:tr>
      <w:tr>
        <w:tc>
          <w:tcPr>
            <w:tcW w:type="dxa" w:w="3000"/>
          </w:tcPr>
          <w:p>
            <w:r>
              <w:rPr>
                <w:rFonts w:ascii="Arial" w:hAnsi="Arial"/>
                <w:b w:val="0"/>
                <w:sz w:val="22"/>
              </w:rPr>
              <w:t>AGC</w:t>
            </w:r>
          </w:p>
        </w:tc>
        <w:tc>
          <w:tcPr>
            <w:tcW w:type="dxa" w:w="3000"/>
          </w:tcPr>
          <w:p>
            <w:r>
              <w:rPr>
                <w:rFonts w:ascii="Arial" w:hAnsi="Arial"/>
                <w:b w:val="0"/>
                <w:sz w:val="22"/>
              </w:rPr>
              <w:t>Chapter 27</w:t>
            </w:r>
          </w:p>
        </w:tc>
        <w:tc>
          <w:tcPr>
            <w:tcW w:type="dxa" w:w="3000"/>
          </w:tcPr>
          <w:p>
            <w:r>
              <w:rPr>
                <w:rFonts w:ascii="Arial" w:hAnsi="Arial"/>
                <w:b w:val="0"/>
                <w:sz w:val="22"/>
              </w:rPr>
              <w:t>Safety and Health Manual Ch. 27 Struck-By and Caught-In Hazards</w:t>
            </w:r>
          </w:p>
        </w:tc>
      </w:tr>
    </w:tbl>
    <w:p>
      <w:pPr>
        <w:pStyle w:val="Heading1"/>
      </w:pPr>
      <w:r>
        <w:t>Purpose</w:t>
      </w:r>
    </w:p>
    <w:p>
      <w:r>
        <w:rPr>
          <w:rFonts w:ascii="Arial" w:hAnsi="Arial"/>
          <w:b w:val="0"/>
          <w:sz w:val="22"/>
        </w:rPr>
        <w:t>This policy establishes comprehensive guidelines and procedures to proactively prevent injuries and fatalities resulting from struck-by and caught-in/between hazards within all MH Construction operations. It aims to safeguard all personnel on MH Construction job sites by ensuring strict adherence to regulatory standards and fostering a robust, proactive safety culture that prioritizes hazard identification and mitigation.</w:t>
      </w:r>
    </w:p>
    <w:p>
      <w:pPr>
        <w:pStyle w:val="Heading1"/>
      </w:pPr>
      <w:r>
        <w:t>Scope</w:t>
      </w:r>
    </w:p>
    <w:p>
      <w:r>
        <w:rPr>
          <w:rFonts w:ascii="Arial" w:hAnsi="Arial"/>
          <w:b w:val="0"/>
          <w:sz w:val="22"/>
        </w:rPr>
        <w:t>This policy is universally applicable to all MH Construction employees, subcontractors, and any visitors present on MH Construction job sites. Strict adherence to these guidelines is a mandatory requirement for maintaining a secure and compliant working environment, thereby minimizing risks associated with struck-by and caught-in/between incidents.</w:t>
      </w:r>
    </w:p>
    <w:p>
      <w:pPr>
        <w:pStyle w:val="Heading1"/>
      </w:pPr>
      <w:r>
        <w:t>Definitions</w:t>
      </w:r>
    </w:p>
    <w:tbl>
      <w:tblPr>
        <w:tblW w:type="auto" w:w="0"/>
        <w:tblLayout w:type="autofit"/>
        <w:tblLook w:firstColumn="1" w:firstRow="1" w:lastColumn="0" w:lastRow="0" w:noHBand="0" w:noVBand="1" w:val="04A0"/>
      </w:tblPr>
      <w:tblGrid>
        <w:gridCol w:w="4500"/>
        <w:gridCol w:w="450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4500"/>
          </w:tcPr>
          <w:p>
            <w:r>
              <w:rPr>
                <w:rFonts w:ascii="Arial" w:hAnsi="Arial"/>
                <w:b w:val="0"/>
                <w:sz w:val="22"/>
              </w:rPr>
              <w:t>Struck-By Hazard</w:t>
            </w:r>
          </w:p>
        </w:tc>
        <w:tc>
          <w:tcPr>
            <w:tcW w:type="dxa" w:w="4500"/>
          </w:tcPr>
          <w:p>
            <w:r>
              <w:rPr>
                <w:rFonts w:ascii="Arial" w:hAnsi="Arial"/>
                <w:b w:val="0"/>
                <w:sz w:val="22"/>
              </w:rPr>
              <w:t>An incident where a person sustains an injury from forcible contact or impact with an object or piece of equipment, such as falling tools, moving vehicles, or swinging loads.</w:t>
            </w:r>
          </w:p>
        </w:tc>
      </w:tr>
      <w:tr>
        <w:tc>
          <w:tcPr>
            <w:tcW w:type="dxa" w:w="4500"/>
          </w:tcPr>
          <w:p>
            <w:r>
              <w:rPr>
                <w:rFonts w:ascii="Arial" w:hAnsi="Arial"/>
                <w:b w:val="0"/>
                <w:sz w:val="22"/>
              </w:rPr>
              <w:t>Caught-In/Between Hazard</w:t>
            </w:r>
          </w:p>
        </w:tc>
        <w:tc>
          <w:tcPr>
            <w:tcW w:type="dxa" w:w="4500"/>
          </w:tcPr>
          <w:p>
            <w:r>
              <w:rPr>
                <w:rFonts w:ascii="Arial" w:hAnsi="Arial"/>
                <w:b w:val="0"/>
                <w:sz w:val="22"/>
              </w:rPr>
              <w:t>An incident where a person is squeezed, caught, crushed, pinched, or compressed between two or more objects, or between parts of an object, leading to injury. This includes being caught in machinery, between moving parts, or in collapsing structures.</w:t>
            </w:r>
          </w:p>
        </w:tc>
      </w:tr>
      <w:tr>
        <w:tc>
          <w:tcPr>
            <w:tcW w:type="dxa" w:w="4500"/>
          </w:tcPr>
          <w:p>
            <w:r>
              <w:rPr>
                <w:rFonts w:ascii="Arial" w:hAnsi="Arial"/>
                <w:b w:val="0"/>
                <w:sz w:val="22"/>
              </w:rPr>
              <w:t>Competent Person</w:t>
            </w:r>
          </w:p>
        </w:tc>
        <w:tc>
          <w:tcPr>
            <w:tcW w:type="dxa" w:w="4500"/>
          </w:tcPr>
          <w:p>
            <w:r>
              <w:rPr>
                <w:rFonts w:ascii="Arial" w:hAnsi="Arial"/>
                <w:b w:val="0"/>
                <w:sz w:val="22"/>
              </w:rPr>
              <w:t>An individual designated by MH Construction who is capable of identifying existing and predictable hazards in the surroundings or working conditions which are unsanitary, hazardous, or dangerous to employees, and who possesses the authority to take prompt corrective measures to eliminate them, as defined by OSHA 29 CFR 1926.32(f).</w:t>
            </w:r>
          </w:p>
        </w:tc>
      </w:tr>
      <w:tr>
        <w:tc>
          <w:tcPr>
            <w:tcW w:type="dxa" w:w="4500"/>
          </w:tcPr>
          <w:p>
            <w:r>
              <w:rPr>
                <w:rFonts w:ascii="Arial" w:hAnsi="Arial"/>
                <w:b w:val="0"/>
                <w:sz w:val="22"/>
              </w:rPr>
              <w:t>Exclusion Zone</w:t>
            </w:r>
          </w:p>
        </w:tc>
        <w:tc>
          <w:tcPr>
            <w:tcW w:type="dxa" w:w="4500"/>
          </w:tcPr>
          <w:p>
            <w:r>
              <w:rPr>
                <w:rFonts w:ascii="Arial" w:hAnsi="Arial"/>
                <w:b w:val="0"/>
                <w:sz w:val="22"/>
              </w:rPr>
              <w:t>A clearly delineated and controlled area established around operational equipment, material hoisting activities, or other identified high-risk zones where entry is strictly restricted to authorized and essential personnel only. This measure is critical for preventing struck-by or caught-in/between incidents.</w:t>
            </w:r>
          </w:p>
        </w:tc>
      </w:tr>
      <w:tr>
        <w:tc>
          <w:tcPr>
            <w:tcW w:type="dxa" w:w="4500"/>
          </w:tcPr>
          <w:p>
            <w:r>
              <w:rPr>
                <w:rFonts w:ascii="Arial" w:hAnsi="Arial"/>
                <w:b w:val="0"/>
                <w:sz w:val="22"/>
              </w:rPr>
              <w:t>Heavy Equipment</w:t>
            </w:r>
          </w:p>
        </w:tc>
        <w:tc>
          <w:tcPr>
            <w:tcW w:type="dxa" w:w="4500"/>
          </w:tcPr>
          <w:p>
            <w:r>
              <w:rPr>
                <w:rFonts w:ascii="Arial" w:hAnsi="Arial"/>
                <w:b w:val="0"/>
                <w:sz w:val="22"/>
              </w:rPr>
              <w:t>Any large-scale machinery utilized in construction activities, including but not limited to excavators, bulldozers, cranes, forklifts, and loaders. These machines inherently pose significant struck-by and caught-in/between risks due to their size, power, and operational dynamics.</w:t>
            </w:r>
          </w:p>
        </w:tc>
      </w:tr>
      <w:tr>
        <w:tc>
          <w:tcPr>
            <w:tcW w:type="dxa" w:w="4500"/>
          </w:tcPr>
          <w:p>
            <w:r>
              <w:rPr>
                <w:rFonts w:ascii="Arial" w:hAnsi="Arial"/>
                <w:b w:val="0"/>
                <w:sz w:val="22"/>
              </w:rPr>
              <w:t>Situational Awareness</w:t>
            </w:r>
          </w:p>
        </w:tc>
        <w:tc>
          <w:tcPr>
            <w:tcW w:type="dxa" w:w="4500"/>
          </w:tcPr>
          <w:p>
            <w:r>
              <w:rPr>
                <w:rFonts w:ascii="Arial" w:hAnsi="Arial"/>
                <w:b w:val="0"/>
                <w:sz w:val="22"/>
              </w:rPr>
              <w:t>The ability to identify, process, and comprehend the critical elements of information about what is happening with regards to the mission. More simply, it's knowing what is going on around you in the context of the work environment and potential hazards.</w:t>
            </w:r>
          </w:p>
        </w:tc>
      </w:tr>
    </w:tbl>
    <w:p>
      <w:pPr>
        <w:pStyle w:val="Heading1"/>
      </w:pPr>
      <w:r>
        <w:t>Responsibilities</w:t>
      </w:r>
    </w:p>
    <w:p>
      <w:pPr>
        <w:pStyle w:val="Heading2"/>
      </w:pPr>
      <w:r>
        <w:t>Company/Management Responsibilities</w:t>
      </w:r>
    </w:p>
    <w:p>
      <w:pPr>
        <w:pStyle w:val="ListBullet"/>
      </w:pPr>
      <w:r>
        <w:rPr>
          <w:rFonts w:ascii="Arial" w:hAnsi="Arial"/>
          <w:b w:val="0"/>
          <w:sz w:val="22"/>
        </w:rPr>
        <w:t>Establish and maintain a safe work environment, providing all necessary resources, equipment, and training to effectively prevent struck-by and caught-in/between hazards across all job sites.</w:t>
      </w:r>
    </w:p>
    <w:p>
      <w:pPr>
        <w:pStyle w:val="ListBullet"/>
      </w:pPr>
      <w:r>
        <w:rPr>
          <w:rFonts w:ascii="Arial" w:hAnsi="Arial"/>
          <w:b w:val="0"/>
          <w:sz w:val="22"/>
        </w:rPr>
        <w:t>Ensure that all employees receive comprehensive and documented training on hazard recognition, safe work practices, and emergency procedures specific to struck-by and caught-in/between risks.</w:t>
      </w:r>
    </w:p>
    <w:p>
      <w:pPr>
        <w:pStyle w:val="ListBullet"/>
      </w:pPr>
      <w:r>
        <w:rPr>
          <w:rFonts w:ascii="Arial" w:hAnsi="Arial"/>
          <w:b w:val="0"/>
          <w:sz w:val="22"/>
        </w:rPr>
        <w:t>Conduct regular, documented site inspections and audits to proactively identify, assess, and mitigate potential hazards, ensuring compliance with all applicable OSHA, WISHA, and company safety standards.</w:t>
      </w:r>
    </w:p>
    <w:p>
      <w:pPr>
        <w:pStyle w:val="ListBullet"/>
      </w:pPr>
      <w:r>
        <w:rPr>
          <w:rFonts w:ascii="Arial" w:hAnsi="Arial"/>
          <w:b w:val="0"/>
          <w:sz w:val="22"/>
        </w:rPr>
        <w:t>Implement and enforce disciplinary actions for non-compliance with safety policies, ensuring accountability at all levels of the organization.</w:t>
      </w:r>
    </w:p>
    <w:p>
      <w:pPr>
        <w:pStyle w:val="Heading2"/>
      </w:pPr>
      <w:r>
        <w:t>Supervisor/Foreman Responsibilities</w:t>
      </w:r>
    </w:p>
    <w:p>
      <w:pPr>
        <w:pStyle w:val="ListBullet"/>
      </w:pPr>
      <w:r>
        <w:rPr>
          <w:rFonts w:ascii="Arial" w:hAnsi="Arial"/>
          <w:b w:val="0"/>
          <w:sz w:val="22"/>
        </w:rPr>
        <w:t>Rigorously enforce all safety policies and procedures, particularly those pertaining to struck-by and caught-in/between hazards, ensuring consistent application on site.</w:t>
      </w:r>
    </w:p>
    <w:p>
      <w:pPr>
        <w:pStyle w:val="ListBullet"/>
      </w:pPr>
      <w:r>
        <w:rPr>
          <w:rFonts w:ascii="Arial" w:hAnsi="Arial"/>
          <w:b w:val="0"/>
          <w:sz w:val="22"/>
        </w:rPr>
        <w:t>Conduct daily Job Hazard Analyses (JHAs) and pre-task planning meetings to identify, evaluate, and implement controls for all potential hazards before work commences.</w:t>
      </w:r>
    </w:p>
    <w:p>
      <w:pPr>
        <w:pStyle w:val="ListBullet"/>
      </w:pPr>
      <w:r>
        <w:rPr>
          <w:rFonts w:ascii="Arial" w:hAnsi="Arial"/>
          <w:b w:val="0"/>
          <w:sz w:val="22"/>
        </w:rPr>
        <w:t>Verify the proper selection, use, and maintenance of Personal Protective Equipment (PPE) and other safety devices by all personnel under their supervision.</w:t>
      </w:r>
    </w:p>
    <w:p>
      <w:pPr>
        <w:pStyle w:val="ListBullet"/>
      </w:pPr>
      <w:r>
        <w:rPr>
          <w:rFonts w:ascii="Arial" w:hAnsi="Arial"/>
          <w:b w:val="0"/>
          <w:sz w:val="22"/>
        </w:rPr>
        <w:t>Provide clear, concise instructions and direct supervision to employees working near heavy equipment, in excavations, or in any areas presenting potential struck-by or caught-in/between hazards.</w:t>
      </w:r>
    </w:p>
    <w:p>
      <w:pPr>
        <w:pStyle w:val="ListBullet"/>
      </w:pPr>
      <w:r>
        <w:rPr>
          <w:rFonts w:ascii="Arial" w:hAnsi="Arial"/>
          <w:b w:val="0"/>
          <w:sz w:val="22"/>
        </w:rPr>
        <w:t>Ensure all equipment operators are certified and competent, and that equipment is inspected daily and maintained in safe operating condition.</w:t>
      </w:r>
    </w:p>
    <w:p>
      <w:pPr>
        <w:pStyle w:val="Heading2"/>
      </w:pPr>
      <w:r>
        <w:t>Employee Responsibilities</w:t>
      </w:r>
    </w:p>
    <w:p>
      <w:pPr>
        <w:pStyle w:val="ListBullet"/>
      </w:pPr>
      <w:r>
        <w:rPr>
          <w:rFonts w:ascii="Arial" w:hAnsi="Arial"/>
          <w:b w:val="0"/>
          <w:sz w:val="22"/>
        </w:rPr>
        <w:t>Strictly adhere to all MH Construction safety rules, established procedures, and instructions provided by supervisors and management.</w:t>
      </w:r>
    </w:p>
    <w:p>
      <w:pPr>
        <w:pStyle w:val="ListBullet"/>
      </w:pPr>
      <w:r>
        <w:rPr>
          <w:rFonts w:ascii="Arial" w:hAnsi="Arial"/>
          <w:b w:val="0"/>
          <w:sz w:val="22"/>
        </w:rPr>
        <w:t>Immediately report any observed unsafe conditions, practices, or equipment malfunctions to their direct supervisor without delay.</w:t>
      </w:r>
    </w:p>
    <w:p>
      <w:pPr>
        <w:pStyle w:val="ListBullet"/>
      </w:pPr>
      <w:r>
        <w:rPr>
          <w:rFonts w:ascii="Arial" w:hAnsi="Arial"/>
          <w:b w:val="0"/>
          <w:sz w:val="22"/>
        </w:rPr>
        <w:t>Consistently and correctly use all required PPE and safety equipment as mandated for specific tasks and work environments.</w:t>
      </w:r>
    </w:p>
    <w:p>
      <w:pPr>
        <w:pStyle w:val="ListBullet"/>
      </w:pPr>
      <w:r>
        <w:rPr>
          <w:rFonts w:ascii="Arial" w:hAnsi="Arial"/>
          <w:b w:val="0"/>
          <w:sz w:val="22"/>
        </w:rPr>
        <w:t>Maintain acute situational awareness at all times, especially when working in proximity to moving equipment, overhead activities, or in areas with potential for falling objects or pinch points.</w:t>
      </w:r>
    </w:p>
    <w:p>
      <w:pPr>
        <w:pStyle w:val="ListBullet"/>
      </w:pPr>
      <w:r>
        <w:rPr>
          <w:rFonts w:ascii="Arial" w:hAnsi="Arial"/>
          <w:b w:val="0"/>
          <w:sz w:val="22"/>
        </w:rPr>
        <w:t>Participate actively in all safety training programs and pre-task planning sessions.</w:t>
      </w:r>
    </w:p>
    <w:p>
      <w:pPr>
        <w:pStyle w:val="Heading2"/>
      </w:pPr>
      <w:r>
        <w:t>Subcontractor Responsibilities</w:t>
      </w:r>
    </w:p>
    <w:p>
      <w:pPr>
        <w:pStyle w:val="ListBullet"/>
      </w:pPr>
      <w:r>
        <w:rPr>
          <w:rFonts w:ascii="Arial" w:hAnsi="Arial"/>
          <w:b w:val="0"/>
          <w:sz w:val="22"/>
        </w:rPr>
        <w:t>Fully comply with all MH Construction safety policies and procedures, as well as all applicable federal (OSHA) and state (WISHA) regulations pertaining to struck-by and caught-in/between hazard prevention.</w:t>
      </w:r>
    </w:p>
    <w:p>
      <w:pPr>
        <w:pStyle w:val="ListBullet"/>
      </w:pPr>
      <w:r>
        <w:rPr>
          <w:rFonts w:ascii="Arial" w:hAnsi="Arial"/>
          <w:b w:val="0"/>
          <w:sz w:val="22"/>
        </w:rPr>
        <w:t>Ensure that all their employees are adequately trained, certified, and equipped to perform their assigned tasks safely and in accordance with industry best practices.</w:t>
      </w:r>
    </w:p>
    <w:p>
      <w:pPr>
        <w:pStyle w:val="ListBullet"/>
      </w:pPr>
      <w:r>
        <w:rPr>
          <w:rFonts w:ascii="Arial" w:hAnsi="Arial"/>
          <w:b w:val="0"/>
          <w:sz w:val="22"/>
        </w:rPr>
        <w:t>Actively coordinate with MH Construction supervisors to identify, assess, and implement effective control measures for all potential hazards on shared work sites, particularly those involving heavy equipment and material handling.</w:t>
      </w:r>
    </w:p>
    <w:p>
      <w:pPr>
        <w:pStyle w:val="Heading1"/>
      </w:pPr>
      <w:r>
        <w:t>Procedures / Requirements</w:t>
      </w:r>
    </w:p>
    <w:p>
      <w:pPr>
        <w:pStyle w:val="Heading2"/>
      </w:pPr>
      <w:r>
        <w:t>7.1 Site-Specific Hazard Assessment and Planning</w:t>
      </w:r>
    </w:p>
    <w:p>
      <w:r>
        <w:rPr>
          <w:rFonts w:ascii="Arial" w:hAnsi="Arial"/>
          <w:b w:val="0"/>
          <w:sz w:val="22"/>
        </w:rPr>
        <w:t>Prior to the commencement of any work activity, a comprehensive site-specific hazard assessment shall be meticulously conducted by a designated competent person. This assessment will systematically identify all potential struck-by and caught-in/between hazards, encompassing, but not limited to: the movement of heavy equipment, potential for falling objects, excavation activities, rotating machinery, and confined spaces. The findings of this assessment will inform the development of a detailed Job Hazard Analysis (JHA) and a site-specific safety plan, in accordance with OSH Act General Duty Clause Section 5(a)(1).</w:t>
      </w:r>
    </w:p>
    <w:p>
      <w:pPr>
        <w:pStyle w:val="Heading2"/>
      </w:pPr>
      <w:r>
        <w:t>7.2 Establishment of Exclusion Zones and Barricading</w:t>
      </w:r>
    </w:p>
    <w:p>
      <w:r>
        <w:rPr>
          <w:rFonts w:ascii="Arial" w:hAnsi="Arial"/>
          <w:b w:val="0"/>
          <w:sz w:val="22"/>
        </w:rPr>
        <w:t>Clearly defined and rigorously enforced exclusion zones shall be established around all areas where heavy equipment is operating, materials are being hoisted, or other identified struck-by/caught-in/between hazards are present. These zones must be demarcated using physical barriers such as barricades, caution tape, and high-visibility signage. Access to these zones shall be strictly limited to authorized personnel only, as per 29 CFR 1926.20. Spotters or signal persons are mandatory when equipment operates near these zones or personnel.</w:t>
      </w:r>
    </w:p>
    <w:p>
      <w:pPr>
        <w:pStyle w:val="Heading2"/>
      </w:pPr>
      <w:r>
        <w:t>7.3 Safe Operation of Vehicles and Heavy Equipment</w:t>
      </w:r>
    </w:p>
    <w:p>
      <w:r>
        <w:rPr>
          <w:rFonts w:ascii="Arial" w:hAnsi="Arial"/>
          <w:b w:val="0"/>
          <w:sz w:val="22"/>
        </w:rPr>
        <w:t>All vehicles and heavy equipment utilized on MH Construction sites must undergo daily pre-operation inspections and be maintained in optimal working condition. Only operators who are certified, competent, and specifically authorized for the equipment they are operating are permitted. When operating equipment in areas with restricted visibility, near personnel, or during backing maneuvers, the use of trained spotters or signal persons is mandatory to prevent incidents. All operations must comply with 29 CFR 1926.600 Equipment General and WAC 296-155-610 Motor Vehicles on Construction Sites.</w:t>
      </w:r>
    </w:p>
    <w:p>
      <w:pPr>
        <w:pStyle w:val="Heading2"/>
      </w:pPr>
      <w:r>
        <w:t>7.4 Prevention of Overhead Hazards and Falling Objects</w:t>
      </w:r>
    </w:p>
    <w:p>
      <w:r>
        <w:rPr>
          <w:rFonts w:ascii="Arial" w:hAnsi="Arial"/>
          <w:b w:val="0"/>
          <w:sz w:val="22"/>
        </w:rPr>
        <w:t>Robust measures shall be implemented to prevent falling objects from overhead work areas. These measures include, but are not limited to, the installation of toe boards, debris nets, catch platforms, and the secure stacking and storage of materials. All tools and materials at height must be secured to prevent accidental dislodgement. Employees working below overhead operations must wear appropriate head protection (hard hats). These practices are in accordance with WAC 296-880 Fall Protection overhead hazards.</w:t>
      </w:r>
    </w:p>
    <w:p>
      <w:pPr>
        <w:pStyle w:val="Heading2"/>
      </w:pPr>
      <w:r>
        <w:t>7.5 Trenching, Excavation, and Shoring Safety</w:t>
      </w:r>
    </w:p>
    <w:p>
      <w:r>
        <w:rPr>
          <w:rFonts w:ascii="Arial" w:hAnsi="Arial"/>
          <w:b w:val="0"/>
          <w:sz w:val="22"/>
        </w:rPr>
        <w:t>All trenches and excavations 5 feet or deeper must be protected by an engineered protective system (sloping, shoring, or shielding) unless the excavation is made entirely in stable rock. A competent person must inspect excavations daily and after any rainstorm or other hazard-increasing event. Employees are strictly prohibited from working in unprotected trenches. Adequate means of egress, such as ladders or ramps, must be provided within 25 feet of employees in trenches 4 feet or more in depth. Compliance with 29 CFR 1926 Subpart P - Excavations is mandatory.</w:t>
      </w:r>
    </w:p>
    <w:p>
      <w:pPr>
        <w:pStyle w:val="Heading2"/>
      </w:pPr>
      <w:r>
        <w:t>7.6 Lockout/Tagout (LOTO) Procedures</w:t>
      </w:r>
    </w:p>
    <w:p>
      <w:r>
        <w:rPr>
          <w:rFonts w:ascii="Arial" w:hAnsi="Arial"/>
          <w:b w:val="0"/>
          <w:sz w:val="22"/>
        </w:rPr>
        <w:t>Comprehensive energy control procedures (Lockout/Tagout) shall be implemented for all equipment maintenance, servicing, or repair activities. This is to prevent the unexpected startup, energization, or release of stored energy, which could lead to severe caught-in/between incidents. All affected employees must be trained on LOTO procedures, and equipment must be de-energized, locked out, and tagged out before any work begins, as required by 29 CFR 1910.147 - The Control of Hazardous Energy (Lockout/Tagout).</w:t>
      </w:r>
    </w:p>
    <w:p>
      <w:pPr>
        <w:pStyle w:val="Heading2"/>
      </w:pPr>
      <w:r>
        <w:t>7.7 Personal Protective Equipment (PPE) Requirements</w:t>
      </w:r>
    </w:p>
    <w:p>
      <w:r>
        <w:rPr>
          <w:rFonts w:ascii="Arial" w:hAnsi="Arial"/>
          <w:b w:val="0"/>
          <w:sz w:val="22"/>
        </w:rPr>
        <w:t>All employees shall be provided with, trained in the use of, and required to wear appropriate Personal Protective Equipment (PPE) to safeguard against identified struck-by and caught-in/between hazards. This includes, but is not limited to: hard hats (ANSI Z89.1), high-visibility clothing (ANSI/ISEA 107), safety glasses or goggles (ANSI Z87.1), safety footwear (ANSI Z41), and gloves. The selection and use of PPE must comply with 29 CFR 1926 Subpart E - Personal Protective and Life Saving Equipment.</w:t>
      </w:r>
    </w:p>
    <w:p>
      <w:pPr>
        <w:pStyle w:val="Heading2"/>
      </w:pPr>
      <w:r>
        <w:t>7.8 Safe Material Handling and Storage Practices</w:t>
      </w:r>
    </w:p>
    <w:p>
      <w:r>
        <w:rPr>
          <w:rFonts w:ascii="Arial" w:hAnsi="Arial"/>
          <w:b w:val="0"/>
          <w:sz w:val="22"/>
        </w:rPr>
        <w:t>Materials on job sites must be stored, stacked, and secured in a manner that prevents shifting, falling, or collapsing, thereby eliminating potential struck-by or caught-in/between hazards. Mechanical equipment used for material handling must only be operated by trained and authorized personnel. Clear and unobstructed pathways, aisles, and access routes must be maintained at all times. Compliance with 29 CFR 1926.250 - General Requirements for Storage is essential.</w:t>
      </w:r>
    </w:p>
    <w:p>
      <w:pPr>
        <w:pStyle w:val="Heading2"/>
      </w:pPr>
      <w:r>
        <w:t>7.9 Working in Proximity to Power Lines and Utilities</w:t>
      </w:r>
    </w:p>
    <w:p>
      <w:r>
        <w:rPr>
          <w:rFonts w:ascii="Arial" w:hAnsi="Arial"/>
          <w:b w:val="0"/>
          <w:sz w:val="22"/>
        </w:rPr>
        <w:t>When work activities are conducted near overhead power lines or underground utilities, strict adherence to minimum safe clearance distances is mandatory. Prior to any work, utility companies must be contacted to identify and mark all utility locations. If maintaining minimum clearance from overhead power lines is not feasible, the power company must be contacted to de-energize or insulate the lines. All operations must comply with 29 CFR 1926.1408 - Power line safety (up to 350 kV) - equipment operations and other relevant utility regulations.</w:t>
      </w:r>
    </w:p>
    <w:p>
      <w:pPr>
        <w:pStyle w:val="Heading2"/>
      </w:pPr>
      <w:r>
        <w:t>7.10 Emergency Preparedness and Response</w:t>
      </w:r>
    </w:p>
    <w:p>
      <w:r>
        <w:rPr>
          <w:rFonts w:ascii="Arial" w:hAnsi="Arial"/>
          <w:b w:val="0"/>
          <w:sz w:val="22"/>
        </w:rPr>
        <w:t>Comprehensive emergency procedures, including detailed plans for first aid, rescue operations, and site evacuation, must be developed, clearly communicated, and regularly practiced by all personnel. Emergency contact information, first aid kits, and other essential emergency equipment must be readily accessible and clearly marked at all job sites. These procedures are critical for minimizing harm in the event of an incident and align with WAC 296-155-035 General Requirements safe place standards.</w:t>
      </w:r>
    </w:p>
    <w:p>
      <w:pPr>
        <w:pStyle w:val="Heading1"/>
      </w:pPr>
      <w:r>
        <w:t>Training Requirements</w:t>
      </w:r>
    </w:p>
    <w:p>
      <w:r>
        <w:rPr>
          <w:rFonts w:ascii="Arial" w:hAnsi="Arial"/>
          <w:b w:val="0"/>
          <w:sz w:val="22"/>
        </w:rPr>
        <w:t>All employees whose job functions or work environments expose them to potential struck-by and caught-in/between hazards shall receive comprehensive initial training and periodic refresher training as deemed necessary by the Safety Officer. Training curriculum will encompass: thorough hazard recognition, implementation of safe work practices, correct selection and use of PPE, and detailed emergency response procedures. All training sessions, including dates, topics covered, and attendee rosters, shall be meticulously documented and maintained by the Safety Officer in accordance with 29 CFR 1926.21 - Safety training and education and WAC 296-155-035 General Requirements safe place standards.</w:t>
      </w:r>
    </w:p>
    <w:p>
      <w:pPr>
        <w:pStyle w:val="Heading1"/>
      </w:pPr>
      <w:r>
        <w:t>Inspection and Enforcement</w:t>
      </w:r>
    </w:p>
    <w:p>
      <w:r>
        <w:rPr>
          <w:rFonts w:ascii="Arial" w:hAnsi="Arial"/>
          <w:b w:val="0"/>
          <w:sz w:val="22"/>
        </w:rPr>
        <w:t>Supervisors are mandated to conduct daily informal inspections of their respective work areas to identify and address immediate hazards. The Safety Officer will conduct formal, documented site inspections on a weekly basis to ensure ongoing compliance with this policy and all applicable regulatory standards. Any identified non-compliance or unsafe condition will necessitate immediate corrective action. Repeated or severe violations will trigger progressive disciplinary action as explicitly outlined in the 'Violation Consequences' section of this manual.</w:t>
      </w:r>
    </w:p>
    <w:p>
      <w:pPr>
        <w:pStyle w:val="Heading1"/>
      </w:pPr>
      <w:r>
        <w:t>Recordkeeping</w:t>
      </w:r>
    </w:p>
    <w:p>
      <w:r>
        <w:rPr>
          <w:rFonts w:ascii="Arial" w:hAnsi="Arial"/>
          <w:b w:val="0"/>
          <w:sz w:val="22"/>
        </w:rPr>
        <w:t>The following critical records shall be meticulously maintained for a minimum retention period of five (5) years by the Safety Officer or designated personnel:</w:t>
      </w:r>
    </w:p>
    <w:p>
      <w:pPr>
        <w:pStyle w:val="ListBullet"/>
      </w:pPr>
      <w:r>
        <w:rPr>
          <w:rFonts w:ascii="Arial" w:hAnsi="Arial"/>
          <w:b w:val="0"/>
          <w:sz w:val="22"/>
        </w:rPr>
        <w:t>Site-specific hazard assessments and Job Hazard Analyses (JHAs).</w:t>
      </w:r>
    </w:p>
    <w:p>
      <w:pPr>
        <w:pStyle w:val="ListBullet"/>
      </w:pPr>
      <w:r>
        <w:rPr>
          <w:rFonts w:ascii="Arial" w:hAnsi="Arial"/>
          <w:b w:val="0"/>
          <w:sz w:val="22"/>
        </w:rPr>
        <w:t>Comprehensive employee safety training records, including dates, topics, and attendance.</w:t>
      </w:r>
    </w:p>
    <w:p>
      <w:pPr>
        <w:pStyle w:val="ListBullet"/>
      </w:pPr>
      <w:r>
        <w:rPr>
          <w:rFonts w:ascii="Arial" w:hAnsi="Arial"/>
          <w:b w:val="0"/>
          <w:sz w:val="22"/>
        </w:rPr>
        <w:t>All formal and informal inspection reports, including details of identified hazards and implemented corrective actions.</w:t>
      </w:r>
    </w:p>
    <w:p>
      <w:pPr>
        <w:pStyle w:val="ListBullet"/>
      </w:pPr>
      <w:r>
        <w:rPr>
          <w:rFonts w:ascii="Arial" w:hAnsi="Arial"/>
          <w:b w:val="0"/>
          <w:sz w:val="22"/>
        </w:rPr>
        <w:t>Incident investigation reports, particularly those related to struck-by and caught-in/between incidents, near misses, and disciplinary actions.</w:t>
      </w:r>
    </w:p>
    <w:p>
      <w:pPr>
        <w:pStyle w:val="ListBullet"/>
      </w:pPr>
      <w:r>
        <w:rPr>
          <w:rFonts w:ascii="Arial" w:hAnsi="Arial"/>
          <w:b w:val="0"/>
          <w:sz w:val="22"/>
        </w:rPr>
        <w:t>Equipment maintenance and inspection logs.</w:t>
      </w:r>
    </w:p>
    <w:p>
      <w:pPr>
        <w:pStyle w:val="Heading1"/>
      </w:pPr>
      <w:r>
        <w:t>Violation Consequences</w:t>
      </w:r>
    </w:p>
    <w:p>
      <w:r>
        <w:rPr>
          <w:rFonts w:ascii="Arial" w:hAnsi="Arial"/>
          <w:b w:val="0"/>
          <w:sz w:val="22"/>
        </w:rPr>
        <w:t>Non-compliance with the provisions of this policy will result in the application of a progressive disciplinary action framework. The severity of the disciplinary action, which may range from verbal warnings to immediate termination of employment or contract, will be determined based on the nature, severity, frequency, and potential impact of the violation. All disciplinary actions will be thoroughly documented, reviewed by senior management and the Safety Officer, and communicated to the involved parties.</w:t>
      </w:r>
    </w:p>
    <w:p>
      <w:pPr>
        <w:pStyle w:val="Heading1"/>
      </w:pPr>
      <w:r>
        <w:t>References</w:t>
      </w:r>
    </w:p>
    <w:p>
      <w:pPr>
        <w:pStyle w:val="ListBullet"/>
      </w:pPr>
      <w:r>
        <w:rPr>
          <w:rFonts w:ascii="Arial" w:hAnsi="Arial"/>
          <w:b w:val="0"/>
          <w:sz w:val="22"/>
        </w:rPr>
        <w:t>29 CFR 1926 Subpart O - Motor Vehicles, Mechanized Equipment, and Marine Operations</w:t>
      </w:r>
    </w:p>
    <w:p>
      <w:pPr>
        <w:pStyle w:val="ListBullet"/>
      </w:pPr>
      <w:r>
        <w:rPr>
          <w:rFonts w:ascii="Arial" w:hAnsi="Arial"/>
          <w:b w:val="0"/>
          <w:sz w:val="22"/>
        </w:rPr>
        <w:t>29 CFR 1926.600 - Equipment General</w:t>
      </w:r>
    </w:p>
    <w:p>
      <w:pPr>
        <w:pStyle w:val="ListBullet"/>
      </w:pPr>
      <w:r>
        <w:rPr>
          <w:rFonts w:ascii="Arial" w:hAnsi="Arial"/>
          <w:b w:val="0"/>
          <w:sz w:val="22"/>
        </w:rPr>
        <w:t>29 CFR 1926.20 - General Safety and Health Provisions</w:t>
      </w:r>
    </w:p>
    <w:p>
      <w:pPr>
        <w:pStyle w:val="ListBullet"/>
      </w:pPr>
      <w:r>
        <w:rPr>
          <w:rFonts w:ascii="Arial" w:hAnsi="Arial"/>
          <w:b w:val="0"/>
          <w:sz w:val="22"/>
        </w:rPr>
        <w:t>OSH Act General Duty Clause Section 5(a)(1) - General Duty Clause</w:t>
      </w:r>
    </w:p>
    <w:p>
      <w:pPr>
        <w:pStyle w:val="ListBullet"/>
      </w:pPr>
      <w:r>
        <w:rPr>
          <w:rFonts w:ascii="Arial" w:hAnsi="Arial"/>
          <w:b w:val="0"/>
          <w:sz w:val="22"/>
        </w:rPr>
        <w:t>WAC 296-155-610 - Motor Vehicles on Construction Sites</w:t>
      </w:r>
    </w:p>
    <w:p>
      <w:pPr>
        <w:pStyle w:val="ListBullet"/>
      </w:pPr>
      <w:r>
        <w:rPr>
          <w:rFonts w:ascii="Arial" w:hAnsi="Arial"/>
          <w:b w:val="0"/>
          <w:sz w:val="22"/>
        </w:rPr>
        <w:t>WAC 296-880 - Fall Protection overhead hazards</w:t>
      </w:r>
    </w:p>
    <w:p>
      <w:pPr>
        <w:pStyle w:val="ListBullet"/>
      </w:pPr>
      <w:r>
        <w:rPr>
          <w:rFonts w:ascii="Arial" w:hAnsi="Arial"/>
          <w:b w:val="0"/>
          <w:sz w:val="22"/>
        </w:rPr>
        <w:t>WAC 296-155-035 - General Requirements safe place standards</w:t>
      </w:r>
    </w:p>
    <w:p>
      <w:pPr>
        <w:pStyle w:val="ListBullet"/>
      </w:pPr>
      <w:r>
        <w:rPr>
          <w:rFonts w:ascii="Arial" w:hAnsi="Arial"/>
          <w:b w:val="0"/>
          <w:sz w:val="22"/>
        </w:rPr>
        <w:t>AGC Safety and Health Manual Ch. 27 Struck-By and Caught-In Hazards</w:t>
      </w:r>
    </w:p>
    <w:p>
      <w:pPr>
        <w:pStyle w:val="ListBullet"/>
      </w:pPr>
      <w:r>
        <w:rPr>
          <w:rFonts w:ascii="Arial" w:hAnsi="Arial"/>
          <w:b w:val="0"/>
          <w:sz w:val="22"/>
        </w:rPr>
        <w:t>29 CFR 1926 Subpart P - Excavations</w:t>
      </w:r>
    </w:p>
    <w:p>
      <w:pPr>
        <w:pStyle w:val="ListBullet"/>
      </w:pPr>
      <w:r>
        <w:rPr>
          <w:rFonts w:ascii="Arial" w:hAnsi="Arial"/>
          <w:b w:val="0"/>
          <w:sz w:val="22"/>
        </w:rPr>
        <w:t>29 CFR 1910.147 - The Control of Hazardous Energy (Lockout/Tagout)</w:t>
      </w:r>
    </w:p>
    <w:p>
      <w:pPr>
        <w:pStyle w:val="ListBullet"/>
      </w:pPr>
      <w:r>
        <w:rPr>
          <w:rFonts w:ascii="Arial" w:hAnsi="Arial"/>
          <w:b w:val="0"/>
          <w:sz w:val="22"/>
        </w:rPr>
        <w:t>29 CFR 1926 Subpart E - Personal Protective and Life Saving Equipment</w:t>
      </w:r>
    </w:p>
    <w:p>
      <w:pPr>
        <w:pStyle w:val="ListBullet"/>
      </w:pPr>
      <w:r>
        <w:rPr>
          <w:rFonts w:ascii="Arial" w:hAnsi="Arial"/>
          <w:b w:val="0"/>
          <w:sz w:val="22"/>
        </w:rPr>
        <w:t>29 CFR 1926.250 - General Requirements for Storage</w:t>
      </w:r>
    </w:p>
    <w:p>
      <w:pPr>
        <w:pStyle w:val="ListBullet"/>
      </w:pPr>
      <w:r>
        <w:rPr>
          <w:rFonts w:ascii="Arial" w:hAnsi="Arial"/>
          <w:b w:val="0"/>
          <w:sz w:val="22"/>
        </w:rPr>
        <w:t>29 CFR 1926.1408 - Power line safety (up to 350 kV) - equipment operations</w:t>
      </w:r>
    </w:p>
    <w:p>
      <w:pPr>
        <w:pStyle w:val="ListBullet"/>
      </w:pPr>
      <w:r>
        <w:rPr>
          <w:rFonts w:ascii="Arial" w:hAnsi="Arial"/>
          <w:b w:val="0"/>
          <w:sz w:val="22"/>
        </w:rPr>
        <w:t>29 CFR 1926.21 - Safety training and education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BA354E0-0D7B-4260-BB35-857397E62DF6}"/>
</file>

<file path=customXml/itemProps3.xml><?xml version="1.0" encoding="utf-8"?>
<ds:datastoreItem xmlns:ds="http://schemas.openxmlformats.org/officeDocument/2006/customXml" ds:itemID="{6ED7A093-50D6-4A21-9954-3837B7B2BFB0}"/>
</file>

<file path=customXml/itemProps4.xml><?xml version="1.0" encoding="utf-8"?>
<ds:datastoreItem xmlns:ds="http://schemas.openxmlformats.org/officeDocument/2006/customXml" ds:itemID="{87FAE05C-8EA3-4DC4-8756-6886D470880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