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rPr>
          <w:b/>
          <w:sz w:val="24"/>
        </w:rPr>
        <w:t>MISH 50 | Return to Work Program</w:t>
      </w:r>
    </w:p>
    <w:p>
      <w:pPr>
        <w:jc w:val="center"/>
      </w:pPr>
      <w:r>
        <w:t>Revision 3 | Effective: 04/07/2026 | Safety Officer: Matt Ramsey</w:t>
      </w:r>
    </w:p>
    <w:p>
      <w:pPr>
        <w:pBdr>
          <w:bottom w:val="single" w:sz="6" w:space="1" w:color="auto"/>
        </w:pBdr>
      </w:pPr>
    </w:p>
    <w:p>
      <w:pPr>
        <w:pStyle w:val="Heading1"/>
      </w:pPr>
      <w:r>
        <w:t>1. REGULATORY AUTHORITY</w:t>
      </w:r>
    </w:p>
    <w:p>
      <w:pPr/>
      <w:r>
        <w:t>The following regulatory citations and references apply to this section:</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w:t>
            </w:r>
          </w:p>
        </w:tc>
        <w:tc>
          <w:tcPr>
            <w:tcW w:type="dxa" w:w="3000"/>
          </w:tcPr>
          <w:p>
            <w:r>
              <w:t>CFR 1904 Recordkeeping</w:t>
            </w:r>
          </w:p>
        </w:tc>
      </w:tr>
      <w:tr>
        <w:tc>
          <w:tcPr>
            <w:tcW w:type="dxa" w:w="3000"/>
          </w:tcPr>
          <w:p>
            <w:r>
              <w:t>OSHA</w:t>
            </w:r>
          </w:p>
        </w:tc>
        <w:tc>
          <w:tcPr>
            <w:tcW w:type="dxa" w:w="3000"/>
          </w:tcPr>
          <w:p>
            <w:r>
              <w:t>OSH</w:t>
            </w:r>
          </w:p>
        </w:tc>
        <w:tc>
          <w:tcPr>
            <w:tcW w:type="dxa" w:w="3000"/>
          </w:tcPr>
          <w:p>
            <w:r>
              <w:t>Act General Duty Clause</w:t>
            </w:r>
          </w:p>
        </w:tc>
      </w:tr>
      <w:tr>
        <w:tc>
          <w:tcPr>
            <w:tcW w:type="dxa" w:w="3000"/>
          </w:tcPr>
          <w:p>
            <w:r>
              <w:t>WISHA</w:t>
            </w:r>
          </w:p>
        </w:tc>
        <w:tc>
          <w:tcPr>
            <w:tcW w:type="dxa" w:w="3000"/>
          </w:tcPr>
          <w:p>
            <w:r>
              <w:t>RCW</w:t>
            </w:r>
          </w:p>
        </w:tc>
        <w:tc>
          <w:tcPr>
            <w:tcW w:type="dxa" w:w="3000"/>
          </w:tcPr>
          <w:p>
            <w:r>
              <w:t>51.32 Washington Workers Compensation Benefits</w:t>
            </w:r>
          </w:p>
        </w:tc>
      </w:tr>
      <w:tr>
        <w:tc>
          <w:tcPr>
            <w:tcW w:type="dxa" w:w="3000"/>
          </w:tcPr>
          <w:p>
            <w:r>
              <w:t>WISHA</w:t>
            </w:r>
          </w:p>
        </w:tc>
        <w:tc>
          <w:tcPr>
            <w:tcW w:type="dxa" w:w="3000"/>
          </w:tcPr>
          <w:p>
            <w:r>
              <w:t>RCW</w:t>
            </w:r>
          </w:p>
        </w:tc>
        <w:tc>
          <w:tcPr>
            <w:tcW w:type="dxa" w:w="3000"/>
          </w:tcPr>
          <w:p>
            <w:r>
              <w:t>51.36 Medical Aid</w:t>
            </w:r>
          </w:p>
        </w:tc>
      </w:tr>
      <w:tr>
        <w:tc>
          <w:tcPr>
            <w:tcW w:type="dxa" w:w="3000"/>
          </w:tcPr>
          <w:p>
            <w:r>
              <w:t>WISHA</w:t>
            </w:r>
          </w:p>
        </w:tc>
        <w:tc>
          <w:tcPr>
            <w:tcW w:type="dxa" w:w="3000"/>
          </w:tcPr>
          <w:p>
            <w:r>
              <w:t>WAC</w:t>
            </w:r>
          </w:p>
        </w:tc>
        <w:tc>
          <w:tcPr>
            <w:tcW w:type="dxa" w:w="3000"/>
          </w:tcPr>
          <w:p>
            <w:r>
              <w:t>296-155-110 Accident Prevention Program</w:t>
            </w:r>
          </w:p>
        </w:tc>
      </w:tr>
      <w:tr>
        <w:tc>
          <w:tcPr>
            <w:tcW w:type="dxa" w:w="3000"/>
          </w:tcPr>
          <w:p>
            <w:r>
              <w:t>AGC</w:t>
            </w:r>
          </w:p>
        </w:tc>
        <w:tc>
          <w:tcPr>
            <w:tcW w:type="dxa" w:w="3000"/>
          </w:tcPr>
          <w:p>
            <w:r>
              <w:t>Safety</w:t>
            </w:r>
          </w:p>
        </w:tc>
        <w:tc>
          <w:tcPr>
            <w:tcW w:type="dxa" w:w="3000"/>
          </w:tcPr>
          <w:p>
            <w:r>
              <w:t>and Health Manual Ch. 5</w:t>
            </w:r>
          </w:p>
        </w:tc>
      </w:tr>
      <w:tr>
        <w:tc>
          <w:tcPr>
            <w:tcW w:type="dxa" w:w="3000"/>
          </w:tcPr>
          <w:p>
            <w:r>
              <w:t>AGC</w:t>
            </w:r>
          </w:p>
        </w:tc>
        <w:tc>
          <w:tcPr>
            <w:tcW w:type="dxa" w:w="3000"/>
          </w:tcPr>
          <w:p>
            <w:r>
              <w:t>AGC</w:t>
            </w:r>
          </w:p>
        </w:tc>
        <w:tc>
          <w:tcPr>
            <w:tcW w:type="dxa" w:w="3000"/>
          </w:tcPr>
          <w:p>
            <w:r>
              <w:t>Return-to-Work Best Practices</w:t>
            </w:r>
          </w:p>
        </w:tc>
      </w:tr>
    </w:tbl>
    <w:p>
      <w:pPr>
        <w:pStyle w:val="Heading1"/>
      </w:pPr>
      <w:r>
        <w:t>2. PURPOSE</w:t>
      </w:r>
    </w:p>
    <w:p>
      <w:r>
        <w:t>This policy establishes a comprehensive Return to Work Program designed to facilitate the timely and safe return of injured or ill employees to productive employment. It aims to minimize the impact of workplace injuries and illnesses on both the employee and MH Construction, Inc., by providing appropriate accommodations and support while ensuring compliance with all applicable regulations.</w:t>
      </w:r>
    </w:p>
    <w:p>
      <w:pPr>
        <w:pStyle w:val="Heading1"/>
      </w:pPr>
      <w:r>
        <w:t>3. SCOPE</w:t>
      </w:r>
    </w:p>
    <w:p>
      <w:r>
        <w:t>This program applies to all MH Construction, Inc. employees, subcontractors, and visitors on MH Construction job sites. It covers all work-related injuries and illnesses, regardless of severity, and outlines the procedures for managing an employee's return to work after an absence due to such incidents.</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Return to Work (RTW) Program</w:t>
            </w:r>
          </w:p>
        </w:tc>
        <w:tc>
          <w:tcPr>
            <w:tcW w:type="dxa" w:w="4500"/>
          </w:tcPr>
          <w:p>
            <w:r>
              <w:t>A structured process designed to assist employees who have been absent from work due to a work-related injury or illness in returning to suitable employment.</w:t>
            </w:r>
          </w:p>
        </w:tc>
      </w:tr>
      <w:tr>
        <w:tc>
          <w:tcPr>
            <w:tcW w:type="dxa" w:w="4500"/>
          </w:tcPr>
          <w:p>
            <w:r>
              <w:t>Light Duty/Modified Work</w:t>
            </w:r>
          </w:p>
        </w:tc>
        <w:tc>
          <w:tcPr>
            <w:tcW w:type="dxa" w:w="4500"/>
          </w:tcPr>
          <w:p>
            <w:r>
              <w:t>Temporary job assignments that accommodate an employee's medical restrictions while they recover from an injury or illness.</w:t>
            </w:r>
          </w:p>
        </w:tc>
      </w:tr>
      <w:tr>
        <w:tc>
          <w:tcPr>
            <w:tcW w:type="dxa" w:w="4500"/>
          </w:tcPr>
          <w:p>
            <w:r>
              <w:t>Medical Provider</w:t>
            </w:r>
          </w:p>
        </w:tc>
        <w:tc>
          <w:tcPr>
            <w:tcW w:type="dxa" w:w="4500"/>
          </w:tcPr>
          <w:p>
            <w:r>
              <w:t>A licensed healthcare professional responsible for diagnosing, treating, and providing work restrictions for injured or ill employees.</w:t>
            </w:r>
          </w:p>
        </w:tc>
      </w:tr>
      <w:tr>
        <w:tc>
          <w:tcPr>
            <w:tcW w:type="dxa" w:w="4500"/>
          </w:tcPr>
          <w:p>
            <w:r>
              <w:t>Job Hazard Analysis (JHA)</w:t>
            </w:r>
          </w:p>
        </w:tc>
        <w:tc>
          <w:tcPr>
            <w:tcW w:type="dxa" w:w="4500"/>
          </w:tcPr>
          <w:p>
            <w:r>
              <w:t>A process to identify potential hazards of tasks and jobs, and to prescribe controls to eliminate or reduce those hazards.</w:t>
            </w:r>
          </w:p>
        </w:tc>
      </w:tr>
      <w:tr>
        <w:tc>
          <w:tcPr>
            <w:tcW w:type="dxa" w:w="4500"/>
          </w:tcPr>
          <w:p>
            <w:r>
              <w:t>OSHA Recordable Injury/Illness</w:t>
            </w:r>
          </w:p>
        </w:tc>
        <w:tc>
          <w:tcPr>
            <w:tcW w:type="dxa" w:w="4500"/>
          </w:tcPr>
          <w:p>
            <w:r>
              <w:t>An injury or illness that meets specific criteria outlined by OSHA for recordkeeping purposes, typically requiring medical treatment beyond first aid, days away from work, restricted work, or transfer to another job.</w:t>
            </w:r>
          </w:p>
        </w:tc>
      </w:tr>
    </w:tbl>
    <w:p>
      <w:pPr>
        <w:pStyle w:val="Heading1"/>
      </w:pPr>
      <w:r>
        <w:t>5. RESPONSIBILITIES</w:t>
      </w:r>
    </w:p>
    <w:p>
      <w:pPr>
        <w:pStyle w:val="Heading2"/>
      </w:pPr>
      <w:r>
        <w:t>5.1 Company/Management Responsibilities</w:t>
      </w:r>
    </w:p>
    <w:p>
      <w:r>
        <w:t>• Establish and maintain a comprehensive Return to Work Program. • Ensure adequate resources are available for program implementation. • Provide training and support to supervisors and employees regarding the RTW process. • Review and update the program periodically to ensure effectiveness and compliance.</w:t>
      </w:r>
    </w:p>
    <w:p>
      <w:pPr>
        <w:pStyle w:val="Heading2"/>
      </w:pPr>
      <w:r>
        <w:t>5.2 Supervisor/Foreman Responsibilities</w:t>
      </w:r>
    </w:p>
    <w:p>
      <w:r>
        <w:t>• Report all injuries and illnesses promptly. • Cooperate with medical providers and HR/Safety to identify suitable modified work. • Communicate with injured employees regularly. • Ensure modified work assignments adhere to medical restrictions.</w:t>
      </w:r>
    </w:p>
    <w:p>
      <w:pPr>
        <w:pStyle w:val="Heading2"/>
      </w:pPr>
      <w:r>
        <w:t>5.3 Employee Responsibilities</w:t>
      </w:r>
    </w:p>
    <w:p>
      <w:r>
        <w:t>• Report all work-related injuries/illnesses immediately to their supervisor. • Seek prompt medical attention as needed. • Cooperate with medical providers and the company regarding treatment and return to work plans. • Adhere to all medical restrictions and modified work assignments.</w:t>
      </w:r>
    </w:p>
    <w:p>
      <w:pPr>
        <w:pStyle w:val="Heading2"/>
      </w:pPr>
      <w:r>
        <w:t>5.4 Subcontractor Responsibilities</w:t>
      </w:r>
    </w:p>
    <w:p>
      <w:r>
        <w:t>• Ensure their employees are aware of and follow their company's return to work policies. • Notify MH Construction of any serious injuries or illnesses involving their employees on MHC job sites. • Cooperate with MH Construction in coordinating any necessary accommodations for their employees working on MHC sites.</w:t>
      </w:r>
    </w:p>
    <w:p>
      <w:pPr>
        <w:pStyle w:val="Heading1"/>
      </w:pPr>
      <w:r>
        <w:t>6. PROCEDURES / REQUIREMENTS</w:t>
      </w:r>
    </w:p>
    <w:p>
      <w:pPr>
        <w:pStyle w:val="Heading2"/>
      </w:pPr>
      <w:r>
        <w:t>6.1 Injury/Illness Reporting</w:t>
      </w:r>
    </w:p>
    <w:p>
      <w:r>
        <w:t>1. All work-related injuries or illnesses, regardless of severity, must be reported to the immediate supervisor within 24 hours of occurrence or discovery. 2. An incident report form must be completed for all reported incidents. 3. Per OSHA 29 CFR 1904, certain injuries and illnesses must be reported to OSHA within specific timeframes (e.g., fatalities within 8 hours, inpatient hospitalization, amputation, or loss of an eye within 24 hours).</w:t>
      </w:r>
    </w:p>
    <w:p>
      <w:pPr>
        <w:pStyle w:val="Heading2"/>
      </w:pPr>
      <w:r>
        <w:t>6.2 Medical Treatment and Assessment</w:t>
      </w:r>
    </w:p>
    <w:p>
      <w:r>
        <w:t>1. Employees must seek appropriate medical attention for work-related injuries or illnesses. 2. MH Construction will provide a list of approved medical providers. 3. A medical release form, outlining work restrictions and capabilities, must be provided to MH Construction by the treating physician. 4. Per RCW 51.36, injured workers are entitled to medical aid for their accepted claim.</w:t>
      </w:r>
    </w:p>
    <w:p>
      <w:pPr>
        <w:pStyle w:val="Heading2"/>
      </w:pPr>
      <w:r>
        <w:t>6.3 Modified Duty Assignment</w:t>
      </w:r>
    </w:p>
    <w:p>
      <w:r>
        <w:t>1. Upon receipt of medical restrictions, MH Construction will assess available modified duty positions that align with the employee's capabilities. 2. Modified duty assignments will be temporary and designed to facilitate a progressive return to full duty. 3. The employee's supervisor will review the modified duty assignment with the employee and ensure all restrictions are understood and followed. 4. Per OSH Act General Duty Clause, employers must provide a workplace free from recognized hazards, which extends to ensuring modified duty is safe and appropriate.</w:t>
      </w:r>
    </w:p>
    <w:p>
      <w:pPr>
        <w:pStyle w:val="Heading2"/>
      </w:pPr>
      <w:r>
        <w:t>6.4 Communication and Coordination</w:t>
      </w:r>
    </w:p>
    <w:p>
      <w:r>
        <w:t>1. Regular communication will be maintained between the injured employee, supervisor, HR, and the Safety Officer throughout the recovery and return to work process. 2. Case conferences may be held with the medical provider, employee, and company representatives to discuss treatment plans and return to work options. 3. Per WAC 296-155-110, employers must have an Accident Prevention Program that includes provisions for communication regarding injuries and return to work.</w:t>
      </w:r>
    </w:p>
    <w:p>
      <w:pPr>
        <w:pStyle w:val="Heading2"/>
      </w:pPr>
      <w:r>
        <w:t>6.5 Return to Full Duty</w:t>
      </w:r>
    </w:p>
    <w:p>
      <w:r>
        <w:t>1. A full medical release from the treating physician is required before an employee can return to full duty. 2. The Safety Officer or HR will review the full release and authorize the return to full duty. 3. Any concerns or ongoing restrictions will be addressed before the employee resumes their regular duties.</w:t>
      </w:r>
    </w:p>
    <w:p>
      <w:pPr>
        <w:pStyle w:val="Heading2"/>
      </w:pPr>
      <w:r>
        <w:t>6.6 Accommodation for Disabilities</w:t>
      </w:r>
    </w:p>
    <w:p>
      <w:r>
        <w:t>1. MH Construction will engage in an interactive process with employees with disabilities to determine reasonable accommodations, in accordance with the Americans with Disabilities Act (ADA) and Washington State law. 2. This includes exploring modifications to job duties, work environment, or equipment to enable the employee to perform essential job functions.</w:t>
      </w:r>
    </w:p>
    <w:p>
      <w:pPr>
        <w:pStyle w:val="Heading2"/>
      </w:pPr>
      <w:r>
        <w:t>6.7 Washington Workers Compensation Benefits</w:t>
      </w:r>
    </w:p>
    <w:p>
      <w:r>
        <w:t>1. Employees injured on the job are eligible for benefits under Washington State Workers' Compensation laws. 2. Per RCW 51.32, these benefits may include medical treatment, wage replacement, and vocational rehabilitation services. 3. MH Construction will assist employees in navigating the workers' compensation claim process.</w:t>
      </w:r>
    </w:p>
    <w:p>
      <w:pPr>
        <w:pStyle w:val="Heading1"/>
      </w:pPr>
      <w:r>
        <w:t>7. TRAINING REQUIREMENTS</w:t>
      </w:r>
    </w:p>
    <w:p>
      <w:r>
        <w:t>• All supervisors and foremen will receive training on the Return to Work Program, including their responsibilities in managing injured employees and facilitating modified duty assignments. • Employees will be informed of the RTW program during new hire orientation and through periodic safety meetings. • Training documentation will be maintained by the HR department for a minimum of three years.</w:t>
      </w:r>
    </w:p>
    <w:p>
      <w:pPr>
        <w:pStyle w:val="Heading1"/>
      </w:pPr>
      <w:r>
        <w:t>8. INSPECTION AND ENFORCEMENT</w:t>
      </w:r>
    </w:p>
    <w:p>
      <w:r>
        <w:t>• Compliance with the Return to Work Program will be monitored by the Safety Officer and HR department. • Regular reviews of modified duty assignments will be conducted to ensure adherence to medical restrictions and program guidelines. • Any non-compliance will be addressed through corrective actions, which may include retraining or disciplinary measures.</w:t>
      </w:r>
    </w:p>
    <w:p>
      <w:pPr>
        <w:pStyle w:val="Heading1"/>
      </w:pPr>
      <w:r>
        <w:t>9. RECORDKEEPING</w:t>
      </w:r>
    </w:p>
    <w:p>
      <w:r>
        <w:t>• All injury/illness reports, medical records, work restriction forms, and modified duty agreements will be maintained by the HR department. • Records will be kept confidential and in accordance with HIPAA and other privacy regulations. • Per OSHA 29 CFR 1904, records of work-related injuries and illnesses must be maintained for five years following the end of the calendar year to which they relate. • Per RCW 51.32, records related to workers' compensation claims must be maintained as per L&amp;I requirements.</w:t>
      </w:r>
    </w:p>
    <w:p>
      <w:pPr>
        <w:pStyle w:val="Heading1"/>
      </w:pPr>
      <w:r>
        <w:t>10. VIOLATION CONSEQUENCES</w:t>
      </w:r>
    </w:p>
    <w:p>
      <w:r>
        <w:t>Violations of this Return to Work Program, including failure to report injuries, non-adherence to medical restrictions, or refusal of suitable modified duty, may result in progressive disciplinary action up to and including termination of employment. Subcontractors found in violation may face penalties as outlined in their contractual agreements with MH Construction.</w:t>
      </w:r>
    </w:p>
    <w:p>
      <w:pPr>
        <w:pStyle w:val="Heading1"/>
      </w:pPr>
      <w:r>
        <w:t>11. REFERENCES</w:t>
      </w:r>
    </w:p>
    <w:p>
      <w:pPr/>
      <w:r>
        <w:t>The following regulatory and company documents were referenced in the creation of this program:</w:t>
      </w:r>
    </w:p>
    <w:p>
      <w:pPr/>
      <w:r>
        <w:t>• OSHA: 29 CFR 1904 Recordkeeping</w:t>
      </w:r>
    </w:p>
    <w:p>
      <w:pPr/>
      <w:r>
        <w:t>• OSHA: OSH Act General Duty Clause</w:t>
      </w:r>
    </w:p>
    <w:p>
      <w:pPr/>
      <w:r>
        <w:t>• WISHA: RCW 51.32 Washington Workers Compensation Benefits</w:t>
      </w:r>
    </w:p>
    <w:p>
      <w:pPr/>
      <w:r>
        <w:t>• WISHA: RCW 51.36 Medical Aid</w:t>
      </w:r>
    </w:p>
    <w:p>
      <w:pPr/>
      <w:r>
        <w:t>• WISHA: WAC 296-155-110 Accident Prevention Program</w:t>
      </w:r>
    </w:p>
    <w:p>
      <w:pPr/>
      <w:r>
        <w:t>• AGC: Safety and Health Manual Ch. 5</w:t>
      </w:r>
    </w:p>
    <w:p>
      <w:pPr/>
      <w:r>
        <w:t>• AGC: AGC Return-to-Work Best Practices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D386165-338B-4516-BD37-991E9779A9A4}"/>
</file>

<file path=customXml/itemProps3.xml><?xml version="1.0" encoding="utf-8"?>
<ds:datastoreItem xmlns:ds="http://schemas.openxmlformats.org/officeDocument/2006/customXml" ds:itemID="{845D2928-D396-45A7-BE44-53847EABFADD}"/>
</file>

<file path=customXml/itemProps4.xml><?xml version="1.0" encoding="utf-8"?>
<ds:datastoreItem xmlns:ds="http://schemas.openxmlformats.org/officeDocument/2006/customXml" ds:itemID="{F9CFC2E0-416C-48CD-B0BA-B9A4832046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Construction Industrial Safety &amp; Health Program Manual</dc:title>
  <dc:subject/>
  <dc:creator>Matt Ramsey</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