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MISH 59 — Stop Work Authority (SWA) Program</w:t>
      </w:r>
    </w:p>
    <w:p>
      <w:pPr>
        <w:spacing w:after="240"/>
      </w:pPr>
      <w:r>
        <w:t xml:space="preserve">Document Level: POLICY / PROCEDURE / TASK | Revision: 5.0</w:t>
      </w:r>
    </w:p>
    <w:p>
      <w:pPr>
        <w:pStyle w:val="Heading2"/>
        <w:spacing w:after="120" w:before="160"/>
      </w:pPr>
      <w:r>
        <w:t xml:space="preserve">1. POLICY — Governing Direction</w:t>
      </w:r>
    </w:p>
    <w:p>
      <w:pPr>
        <w:spacing w:after="120"/>
      </w:pPr>
      <w:r>
        <w:t xml:space="preserve">1.1 Purpose. To empower every person on an MHC site to halt work when a hazard poses an imminent threat to life, health, or property. 1.2 Scope. All MHC employees, Sub-Operators, and site visitors. 1.3 Authority. OSHA General Duty Clause. 1.4 SWA Guarantee. No employee or Sub-Operator shall face retaliation, discipline, or financial penalty for exercising Stop Work Authority in good faith.</w:t>
      </w:r>
    </w:p>
    <w:p>
      <w:pPr>
        <w:pStyle w:val="Heading2"/>
        <w:spacing w:after="120" w:before="160"/>
      </w:pPr>
      <w:r>
        <w:t xml:space="preserve">2. PROCEDURE — Organizational Process</w:t>
      </w:r>
    </w:p>
    <w:p>
      <w:pPr>
        <w:spacing w:after="120"/>
      </w:pPr>
      <w:r>
        <w:t xml:space="preserve">2.1 The 5-Step SWA Process.</w:t>
      </w:r>
    </w:p>
    <w:p>
      <w:pPr>
        <w:spacing w:after="120"/>
      </w:pPr>
      <w:r>
        <w:t xml:space="preserve">• Identify: Recognize the imminent hazard.</w:t>
      </w:r>
    </w:p>
    <w:p>
      <w:pPr>
        <w:spacing w:after="120"/>
      </w:pPr>
      <w:r>
        <w:t xml:space="preserve">• Stop: Clearly communicate "Stop Work" to the affected crew.</w:t>
      </w:r>
    </w:p>
    <w:p>
      <w:pPr>
        <w:spacing w:after="120"/>
      </w:pPr>
      <w:r>
        <w:t xml:space="preserve">• Communicate: Notify the Site Safety Commander immediately.</w:t>
      </w:r>
    </w:p>
    <w:p>
      <w:pPr>
        <w:spacing w:after="120"/>
      </w:pPr>
      <w:r>
        <w:t xml:space="preserve">• Resolve: Safety Command and the Site Safety Commander mitigate the hazard.</w:t>
      </w:r>
    </w:p>
    <w:p>
      <w:pPr>
        <w:spacing w:after="120"/>
      </w:pPr>
      <w:r>
        <w:t xml:space="preserve">• Resume: Work resumes only when the Site Safety Commander gives the "all clear." 2.2 Positive Recognition. Every valid SWA event shall be publicly acknowledged at the next Mission Brief as a success, not a failure.</w:t>
      </w:r>
    </w:p>
    <w:p>
      <w:pPr>
        <w:pStyle w:val="Heading2"/>
        <w:spacing w:after="120" w:before="160"/>
      </w:pPr>
      <w:r>
        <w:t xml:space="preserve">3. TASK INSTRUCTIONS — Point-of-Work Action</w:t>
      </w:r>
    </w:p>
    <w:p>
      <w:pPr>
        <w:spacing w:after="120"/>
      </w:pPr>
      <w:r>
        <w:t xml:space="preserve">3.1 Prerequisites. None. Any person can initiate SWA. 3.2 Executing SWA.</w:t>
      </w:r>
    </w:p>
    <w:p>
      <w:pPr>
        <w:spacing w:after="120"/>
      </w:pPr>
      <w:r>
        <w:t xml:space="preserve">• Say "Stop Work" loudly and clearly.</w:t>
      </w:r>
    </w:p>
    <w:p>
      <w:pPr>
        <w:spacing w:after="120"/>
      </w:pPr>
      <w:r>
        <w:t xml:space="preserve">• Ensure equipment is powered down and secured.</w:t>
      </w:r>
    </w:p>
    <w:p>
      <w:pPr>
        <w:spacing w:after="120"/>
      </w:pPr>
      <w:r>
        <w:t xml:space="preserve">• Do not leave the area until the Site Safety Commander arrives.</w:t>
      </w:r>
    </w:p>
    <w:p>
      <w:pPr>
        <w:spacing w:after="120"/>
      </w:pPr>
      <w:r>
        <w:t xml:space="preserve">• Assist the Site Safety Commander in completing Form MHC-SWA (accessible via QR-MISH-FORMS).</w:t>
      </w:r>
    </w:p>
    <w:p>
      <w:pPr>
        <w:spacing w:after="120"/>
      </w:pPr>
      <w:r>
        <w:t xml:space="preserve">APPENDIX D: MULTI-STATE COMPLIANCE MATRIX (WA / OR / ID)</w:t>
      </w:r>
    </w:p>
    <w:p>
      <w:pPr>
        <w:spacing w:after="120"/>
      </w:pPr>
      <w:r>
        <w:t xml:space="preserve">MH Construction operates across Washington, Oregon, and Idaho. While the MISH is written primarily to Washington (WISHA) standards, Site Safety Commanders must apply the following state-specific modifications when operating outside of Washington.</w:t>
      </w:r>
    </w:p>
    <w:p>
      <w:pPr>
        <w:spacing w:after="120"/>
      </w:pPr>
      <w:r>
        <w:t xml:space="preserve">Hazard Category</w:t>
      </w:r>
    </w:p>
    <w:p>
      <w:pPr>
        <w:spacing w:after="120"/>
      </w:pPr>
      <w:r>
        <w:t xml:space="preserve">Washington (WISHA)</w:t>
      </w:r>
    </w:p>
    <w:p>
      <w:pPr>
        <w:spacing w:after="120"/>
      </w:pPr>
      <w:r>
        <w:t xml:space="preserve">Oregon (OR-OSHA)</w:t>
      </w:r>
    </w:p>
    <w:p>
      <w:pPr>
        <w:spacing w:after="120"/>
      </w:pPr>
      <w:r>
        <w:t xml:space="preserve">Idaho (Federal OSHA)</w:t>
      </w:r>
    </w:p>
    <w:p>
      <w:pPr>
        <w:spacing w:after="120"/>
      </w:pPr>
      <w:r>
        <w:t xml:space="preserve">Fall Protection</w:t>
      </w:r>
    </w:p>
    <w:p>
      <w:pPr>
        <w:spacing w:after="120"/>
      </w:pPr>
      <w:r>
        <w:t xml:space="preserve">4 feet standard (WAC 296-880)</w:t>
      </w:r>
    </w:p>
    <w:p>
      <w:pPr>
        <w:spacing w:after="120"/>
      </w:pPr>
      <w:r>
        <w:t xml:space="preserve">6 feet standard (OAR 437-003)</w:t>
      </w:r>
    </w:p>
    <w:p>
      <w:pPr>
        <w:spacing w:after="120"/>
      </w:pPr>
      <w:r>
        <w:t xml:space="preserve">6 feet standard (1926.501)</w:t>
      </w:r>
    </w:p>
    <w:p>
      <w:pPr>
        <w:spacing w:after="120"/>
      </w:pPr>
      <w:r>
        <w:t xml:space="preserve">Heat Illness</w:t>
      </w:r>
    </w:p>
    <w:p>
      <w:pPr>
        <w:spacing w:after="120"/>
      </w:pPr>
      <w:r>
        <w:t xml:space="preserve">Triggers at 89°F (or 52°F for non-breathable clothing)</w:t>
      </w:r>
    </w:p>
    <w:p>
      <w:pPr>
        <w:spacing w:after="120"/>
      </w:pPr>
      <w:r>
        <w:t xml:space="preserve">Triggers at 80°F; High Heat at 90°F</w:t>
      </w:r>
    </w:p>
    <w:p>
      <w:pPr>
        <w:spacing w:after="120"/>
      </w:pPr>
      <w:r>
        <w:t xml:space="preserve">No specific standard (General Duty)</w:t>
      </w:r>
    </w:p>
    <w:p>
      <w:pPr>
        <w:spacing w:after="120"/>
      </w:pPr>
      <w:r>
        <w:t xml:space="preserve">Wildfire Smoke</w:t>
      </w:r>
    </w:p>
    <w:p>
      <w:pPr>
        <w:spacing w:after="120"/>
      </w:pPr>
      <w:r>
        <w:t xml:space="preserve">PM2.5 AQI 69+ triggers requirements</w:t>
      </w:r>
    </w:p>
    <w:p>
      <w:pPr>
        <w:spacing w:after="120"/>
      </w:pPr>
      <w:r>
        <w:t xml:space="preserve">PM2.5 AQI 101+ triggers requirements</w:t>
      </w:r>
    </w:p>
    <w:p>
      <w:pPr>
        <w:spacing w:after="120"/>
      </w:pPr>
      <w:r>
        <w:t xml:space="preserve">No specific standard</w:t>
      </w:r>
    </w:p>
    <w:p>
      <w:pPr>
        <w:spacing w:after="120"/>
      </w:pPr>
      <w:r>
        <w:t xml:space="preserve">Cranes/Rigging</w:t>
      </w:r>
    </w:p>
    <w:p>
      <w:pPr>
        <w:spacing w:after="120"/>
      </w:pPr>
      <w:r>
        <w:t xml:space="preserve">WAC 296-155 Part L (stricter certs)</w:t>
      </w:r>
    </w:p>
    <w:p>
      <w:pPr>
        <w:spacing w:after="120"/>
      </w:pPr>
      <w:r>
        <w:t xml:space="preserve">Federal OSHA alignment</w:t>
      </w:r>
    </w:p>
    <w:p>
      <w:pPr>
        <w:spacing w:after="120"/>
      </w:pPr>
      <w:r>
        <w:t xml:space="preserve">Federal OSHA alignment</w:t>
      </w:r>
    </w:p>
    <w:p>
      <w:pPr>
        <w:spacing w:after="120"/>
      </w:pPr>
      <w:r>
        <w:t xml:space="preserve">Recordkeeping</w:t>
      </w:r>
    </w:p>
    <w:p>
      <w:pPr>
        <w:spacing w:after="120"/>
      </w:pPr>
      <w:r>
        <w:t xml:space="preserve">L&amp;I specific forms required</w:t>
      </w:r>
    </w:p>
    <w:p>
      <w:pPr>
        <w:spacing w:after="120"/>
      </w:pPr>
      <w:r>
        <w:t xml:space="preserve">DCBS forms required</w:t>
      </w:r>
    </w:p>
    <w:p>
      <w:pPr>
        <w:spacing w:after="120"/>
      </w:pPr>
      <w:r>
        <w:t xml:space="preserve">OSHA 300 log required</w:t>
      </w:r>
    </w:p>
    <w:p>
      <w:pPr>
        <w:spacing w:after="120"/>
      </w:pPr>
      <w:r>
        <w:t xml:space="preserve">Note: When operating on a federal installation (e.g., military base, DOE site) within any state, Federal OSHA and USACE EM 385-1-1 standards supersede state plans.</w:t>
      </w:r>
    </w:p>
    <w:p>
      <w:pPr>
        <w:spacing w:after="120"/>
      </w:pPr>
      <w:r>
        <w:t xml:space="preserve">REFERENCES</w:t>
      </w:r>
    </w:p>
    <w:p>
      <w:pPr>
        <w:spacing w:after="120"/>
      </w:pPr>
      <w:r>
        <w:t xml:space="preserve">[1] Washington Industrial Safety and Health Act (WISHA), RCW 49.17 — https://app.leg.wa.gov/RCW/default.aspx?cite=49.17</w:t>
      </w:r>
    </w:p>
    <w:p>
      <w:pPr>
        <w:spacing w:after="120"/>
      </w:pPr>
      <w:r>
        <w:t xml:space="preserve">[2] WAC 296-155 — Safety Standards for Construction Work — https://app.leg.wa.gov/wac/default.aspx?cite=296-155</w:t>
      </w:r>
    </w:p>
    <w:p>
      <w:pPr>
        <w:spacing w:after="120"/>
      </w:pPr>
      <w:r>
        <w:t xml:space="preserve">[3] WAC 296-800-140 — Accident Prevention Program — https://app.leg.wa.gov/wac/default.aspx?cite=296-800-140</w:t>
      </w:r>
    </w:p>
    <w:p>
      <w:pPr>
        <w:spacing w:after="120"/>
      </w:pPr>
      <w:r>
        <w:t xml:space="preserve">[4] WAC 296-880 — Unified Safety Standards for Fall Protection — https://app.leg.wa.gov/wac/default.aspx?cite=296-880</w:t>
      </w:r>
    </w:p>
    <w:p>
      <w:pPr>
        <w:spacing w:after="120"/>
      </w:pPr>
      <w:r>
        <w:t xml:space="preserve">[5] WAC 296-62-09530 — Outdoor Heat Exposure — https://app.leg.wa.gov/wac/default.aspx?cite=296-62-09530</w:t>
      </w:r>
    </w:p>
    <w:p>
      <w:pPr>
        <w:spacing w:after="120"/>
      </w:pPr>
      <w:r>
        <w:t xml:space="preserve">[6] Washington L&amp;I Accident Prevention Program Resources — https://www.lni.wa.gov/safety-health/preventing-injuries-illnesses/create-a-safety-program/accident-prevention-program</w:t>
      </w:r>
    </w:p>
    <w:p>
      <w:pPr>
        <w:spacing w:after="120"/>
      </w:pPr>
      <w:r>
        <w:t xml:space="preserve">[7] Inland Northwest AGC Safety Compliance Resources — https://www.nwagc.org/safety-compliance-resources</w:t>
      </w:r>
    </w:p>
    <w:p>
      <w:pPr>
        <w:spacing w:after="120"/>
      </w:pPr>
      <w:r>
        <w:t xml:space="preserve">[8] OSHA Construction Standards (29 CFR 1926) — https://www.osha.gov/construction</w:t>
      </w:r>
    </w:p>
    <w:p>
      <w:pPr>
        <w:spacing w:after="120"/>
      </w:pPr>
      <w:r>
        <w:t xml:space="preserve">[9] OSHA HazCom Standard (29 CFR 1910.1200) — https://www.osha.gov/hazardcommunications</w:t>
      </w:r>
    </w:p>
    <w:p>
      <w:pPr>
        <w:spacing w:after="120"/>
      </w:pPr>
      <w:r>
        <w:t xml:space="preserve">[10] OSHA Fall Protection in Construction — https://www.osha.gov/fall-protection</w:t>
      </w:r>
    </w:p>
    <w:p>
      <w:pPr>
        <w:spacing w:after="120"/>
      </w:pPr>
      <w:r>
        <w:t xml:space="preserve">[11] OSHA Excavation Standard (29 CFR 1926 Subpart P) — https://www.osha.gov/etools/excavation</w:t>
      </w:r>
    </w:p>
    <w:p>
      <w:pPr>
        <w:spacing w:after="120"/>
      </w:pPr>
      <w:r>
        <w:t xml:space="preserve">[12] OSHA Silica Standard for Construction (29 CFR 1926.1153) — https://www.osha.gov/silica-crystalline</w:t>
      </w:r>
    </w:p>
    <w:p>
      <w:pPr>
        <w:spacing w:after="120"/>
      </w:pPr>
      <w:r>
        <w:t xml:space="preserve">[13] OSHA Confined Spaces in Construction (29 CFR 1926.1200) — https://www.osha.gov/confined-spaces</w:t>
      </w:r>
    </w:p>
    <w:p>
      <w:pPr>
        <w:spacing w:after="120"/>
      </w:pPr>
      <w:r>
        <w:t xml:space="preserve">[14] OSHA Respiratory Protection Standard (29 CFR 1910.134) — https://www.osha.gov/respiratory-protection</w:t>
      </w:r>
    </w:p>
    <w:p>
      <w:pPr>
        <w:spacing w:after="120"/>
      </w:pPr>
      <w:r>
        <w:t xml:space="preserve">[15] OSHA Bloodborne Pathogens Standard (29 CFR 1910.1030) — https://www.osha.gov/bloodborne-pathogens</w:t>
      </w:r>
    </w:p>
    <w:p>
      <w:pPr>
        <w:spacing w:after="120"/>
      </w:pPr>
      <w:r>
        <w:t xml:space="preserve">[16] OSHA Lockout/Tagout Standard (29 CFR 1910.147) — https://www.osha.gov/control-hazardous-energy</w:t>
      </w:r>
    </w:p>
    <w:p>
      <w:pPr>
        <w:spacing w:after="120"/>
      </w:pPr>
      <w:r>
        <w:t xml:space="preserve">[17] OSHA Recommended Practices for Safety and Health Programs — https://www.osha.gov/safety-management</w:t>
      </w:r>
    </w:p>
    <w:p>
      <w:pPr>
        <w:spacing w:after="120"/>
      </w:pPr>
      <w:r>
        <w:t xml:space="preserve">[18] NFPA 70E — Standard for Electrical Safety in the Workplace — https://www.nfpa.org/codes-and-standards/nfpa-70e</w:t>
      </w:r>
    </w:p>
    <w:p>
      <w:pPr>
        <w:spacing w:after="120"/>
      </w:pPr>
      <w:r>
        <w:t xml:space="preserve">[19] ANSI/ASSP Z359 — Fall Protection Standards — https://www.assp.org/standards</w:t>
      </w:r>
    </w:p>
    <w:p>
      <w:pPr>
        <w:spacing w:after="120"/>
      </w:pPr>
      <w:r>
        <w:t xml:space="preserve">[20] ACGIH Threshold Limit Values — https://www.acgih.org</w:t>
      </w:r>
    </w:p>
    <w:p>
      <w:pPr>
        <w:spacing w:after="120"/>
      </w:pPr>
      <w:r>
        <w:t xml:space="preserve">[21] NIOSH Construction Safety Resources — https://www.cdc.gov/niosh/construction</w:t>
      </w:r>
    </w:p>
    <w:p>
      <w:pPr>
        <w:spacing w:after="120"/>
      </w:pPr>
      <w:r>
        <w:t xml:space="preserve">[22] CPWR — The Center for Construction Research and Training — https://www.cpwr.com</w:t>
      </w:r>
    </w:p>
    <w:p>
      <w:pPr>
        <w:spacing w:after="120"/>
      </w:pPr>
      <w:r>
        <w:t xml:space="preserve">[23] AGC of Washington Safety Benefits — https://www.agcwa.com/safety-benefits</w:t>
      </w:r>
    </w:p>
    <w:p>
      <w:pPr>
        <w:spacing w:after="120"/>
      </w:pPr>
      <w:r>
        <w:t xml:space="preserve">[24] L&amp;I Stay at Work Program — https://www.lni.wa.gov/claims/for-employers/stay-at-work</w:t>
      </w:r>
    </w:p>
    <w:p>
      <w:pPr>
        <w:spacing w:after="120"/>
      </w:pPr>
      <w:r>
        <w:t xml:space="preserve">[25] WA 811 One-Call Center — https://www.call811.com</w:t>
      </w:r>
    </w:p>
    <w:p>
      <w:pPr>
        <w:spacing w:after="120"/>
      </w:pPr>
      <w:r>
        <w:t xml:space="preserve">[26] Dean Thoemke, "How to Write a Policy, Procedure, and Task — AGC APP Development Guide" (source document)</w:t>
      </w:r>
    </w:p>
    <w:p>
      <w:pPr>
        <w:spacing w:after="120"/>
      </w:pPr>
      <w:r>
        <w:t xml:space="preserve">[27] MH Construction Brand Terms Library v2.0 (source document)</w:t>
      </w:r>
    </w:p>
    <w:p>
      <w:pPr>
        <w:spacing w:after="120"/>
      </w:pPr>
      <w:r>
        <w:t xml:space="preserve">[28] MISH Safety Manual TOC v3 (source document)</w:t>
      </w:r>
    </w:p>
    <w:p>
      <w:pPr>
        <w:spacing w:after="120"/>
      </w:pPr>
      <w:r>
        <w:t xml:space="preserve">[29] WAC 296-155 Part L — 2025 Crane and Rigging Rulemaking — https://lni.wa.gov/safety-health/safety-rules/rulemaking-stakeholder-information/cranesrigging</w:t>
      </w:r>
    </w:p>
    <w:p>
      <w:pPr>
        <w:spacing w:after="120"/>
      </w:pPr>
      <w:r>
        <w:t xml:space="preserve">[30] Washington Contractor Safety and WISHA Requirements — https://washingtoncontractorauthority.com/washington-contractor-safety-requirements</w:t>
      </w:r>
    </w:p>
    <w:p>
      <w:pPr>
        <w:spacing w:after="120"/>
      </w:pPr>
      <w:r>
        <w:t xml:space="preserve">[31] Travelers Risk Control &amp; Construction Safety Resources — https://www.travelers.com/risk-control</w:t>
      </w:r>
    </w:p>
    <w:p>
      <w:pPr>
        <w:spacing w:after="120"/>
      </w:pPr>
      <w:r>
        <w:t xml:space="preserve">MH Construction, Inc. | 3111 N. Capitol Ave. | Pasco, WA 99301 | (509) 308-6489 | www.mhc-gc.com</w:t>
      </w:r>
    </w:p>
    <w:p>
      <w:pPr>
        <w:spacing w:after="120"/>
      </w:pPr>
      <w:r>
        <w:t xml:space="preserve">"Building projects for the client, NOT the dollar."</w:t>
      </w:r>
    </w:p>
    <w:p>
      <w:pPr>
        <w:spacing w:after="120"/>
      </w:pPr>
      <w:r>
        <w:t xml:space="preserve">Integrity | Honesty | Professionalism | Thoroughness</w:t>
      </w:r>
    </w:p>
    <w:p>
      <w:pPr>
        <w:spacing w:after="120"/>
      </w:pPr>
      <w:r>
        <w:t xml:space="preserve">END OF MISH PROGRAM MANUAL — VERSION 5.0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2026-07-28T15:21:32.843Z</dcterms:created>
  <dcterms:modified xsi:type="dcterms:W3CDTF">2026-07-28T15:21:32.843Z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