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MISH 51 — Leading Indicators &amp; Safety Performance Metrics</w:t>
      </w:r>
    </w:p>
    <w:p>
      <w:pPr>
        <w:spacing w:after="240"/>
      </w:pPr>
      <w:r>
        <w:t xml:space="preserve">Document Level: POLICY / PROCEDURE / TASK | Revision: 5.0</w:t>
      </w:r>
    </w:p>
    <w:p>
      <w:pPr>
        <w:pStyle w:val="Heading2"/>
        <w:spacing w:after="120" w:before="160"/>
      </w:pPr>
      <w:r>
        <w:t xml:space="preserve">1. POLICY — Governing Direction</w:t>
      </w:r>
    </w:p>
    <w:p>
      <w:pPr>
        <w:spacing w:after="120"/>
      </w:pPr>
      <w:r>
        <w:t xml:space="preserve">1.1 Purpose. To establish a proactive framework for measuring safety performance before incidents occur, aligning MH Construction with ISO 45001 and ANSI Z10 enterprise standards. 1.2 Scope. Applies to all MHC operations, field personnel, and Sub-Operators. 1.3 Authority. OSHA Recommended Practices for Safety and Health Programs (2016). 1.4 Enterprise Metric Standard. Lagging indicators (EMR, OSHA 300 log) measure past failures. Leading indicators measure current operational health. MHC prioritizes leading indicators as the primary metric for Safety Command performance.</w:t>
      </w:r>
    </w:p>
    <w:p>
      <w:pPr>
        <w:pStyle w:val="Heading2"/>
        <w:spacing w:after="120" w:before="160"/>
      </w:pPr>
      <w:r>
        <w:t xml:space="preserve">2. PROCEDURE — Organizational Process</w:t>
      </w:r>
    </w:p>
    <w:p>
      <w:pPr>
        <w:spacing w:after="120"/>
      </w:pPr>
      <w:r>
        <w:t xml:space="preserve">2.1 Core Leading Indicators. Safety Command shall track the following metrics monthly:</w:t>
      </w:r>
    </w:p>
    <w:p>
      <w:pPr>
        <w:spacing w:after="120"/>
      </w:pPr>
      <w:r>
        <w:t xml:space="preserve">• Mission Brief Completion Rate (%)</w:t>
      </w:r>
    </w:p>
    <w:p>
      <w:pPr>
        <w:spacing w:after="120"/>
      </w:pPr>
      <w:r>
        <w:t xml:space="preserve">• Near-Miss Reports Submitted (Count)</w:t>
      </w:r>
    </w:p>
    <w:p>
      <w:pPr>
        <w:spacing w:after="120"/>
      </w:pPr>
      <w:r>
        <w:t xml:space="preserve">• Job Hazard Analysis (JHA) Completion Rate (%)</w:t>
      </w:r>
    </w:p>
    <w:p>
      <w:pPr>
        <w:spacing w:after="120"/>
      </w:pPr>
      <w:r>
        <w:t xml:space="preserve">• Corrective Action Order (CAO) 30-Day Closure Rate (%)</w:t>
      </w:r>
    </w:p>
    <w:p>
      <w:pPr>
        <w:spacing w:after="120"/>
      </w:pPr>
      <w:r>
        <w:t xml:space="preserve">• Safety Training Attendance Rate (%)</w:t>
      </w:r>
    </w:p>
    <w:p>
      <w:pPr>
        <w:spacing w:after="120"/>
      </w:pPr>
      <w:r>
        <w:t xml:space="preserve">2.2 Data Collection via Digital Dashboard. The primary collection mechanism for leading indicators is the MHC Safety Dashboard (accessible via QR-MISH-MAIN). Procore remains the system of record for project-specific inspections. 2.3 Executive Reporting. Safety Command shall compile a Quarterly Leading Indicators Dashboard for review by the COO and Owner/CEO.</w:t>
      </w:r>
    </w:p>
    <w:p>
      <w:pPr>
        <w:pStyle w:val="Heading2"/>
        <w:spacing w:after="120" w:before="160"/>
      </w:pPr>
      <w:r>
        <w:t xml:space="preserve">3. TASK INSTRUCTIONS — Point-of-Work Action</w:t>
      </w:r>
    </w:p>
    <w:p>
      <w:pPr>
        <w:spacing w:after="120"/>
      </w:pPr>
      <w:r>
        <w:t xml:space="preserve">3.1 Prerequisites. Field Safety Leads must have access to the MHC Safety Dashboard. 3.2 Field Data Submission.</w:t>
      </w:r>
    </w:p>
    <w:p>
      <w:pPr>
        <w:spacing w:after="120"/>
      </w:pPr>
      <w:r>
        <w:t xml:space="preserve">• Scan the QR code on the physical binder to access the dashboard.</w:t>
      </w:r>
    </w:p>
    <w:p>
      <w:pPr>
        <w:spacing w:after="120"/>
      </w:pPr>
      <w:r>
        <w:t xml:space="preserve">• Submit the daily Mission Brief completion status.</w:t>
      </w:r>
    </w:p>
    <w:p>
      <w:pPr>
        <w:spacing w:after="120"/>
      </w:pPr>
      <w:r>
        <w:t xml:space="preserve">• Log any near-miss events or safety observations immediately. 3.3 Acceptance Criteria. 100% of required daily and weekly field safety data must be logged in the dashboard or Procore before the end of the shift.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2026-07-28T15:21:32.488Z</dcterms:created>
  <dcterms:modified xsi:type="dcterms:W3CDTF">2026-07-28T15:21:32.535Z</dcterms:modified>
</cp:coreProperties>
</file>

<file path=docProps/custom.xml><?xml version="1.0" encoding="utf-8"?>
<Properties xmlns="http://schemas.openxmlformats.org/officeDocument/2006/custom-properties" xmlns:vt="http://schemas.openxmlformats.org/officeDocument/2006/docPropsVTypes"/>
</file>