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MH CONSTRUCTION</w:t>
      </w:r>
    </w:p>
    <w:p>
      <w:pPr>
        <w:jc w:val="center"/>
      </w:pPr>
      <w:r>
        <w:rPr>
          <w:rFonts w:ascii="Arial" w:hAnsi="Arial"/>
          <w:sz w:val="22"/>
        </w:rPr>
        <w:t>Industrial Safety &amp; Health Program (MISH)</w:t>
      </w:r>
    </w:p>
    <w:p>
      <w:pPr>
        <w:jc w:val="center"/>
      </w:pPr>
      <w:r>
        <w:rPr>
          <w:rFonts w:ascii="Arial" w:hAnsi="Arial"/>
          <w:sz w:val="22"/>
        </w:rPr>
        <w:t>MISH 07 | Safety Bulletin Boards</w:t>
      </w:r>
    </w:p>
    <w:p>
      <w:pPr>
        <w:jc w:val="center"/>
      </w:pPr>
      <w:r>
        <w:rPr>
          <w:rFonts w:ascii="Arial" w:hAnsi="Arial"/>
          <w:sz w:val="22"/>
        </w:rPr>
        <w:t>Revision 3 | Effective: 04/07/2026 | Safety Officer: Matt Ramsey</w:t>
      </w:r>
    </w:p>
    <w:p>
      <w:pPr>
        <w:pBdr>
          <w:bottom w:val="single" w:sz="12" w:space="1" w:color="auto"/>
        </w:pBdr>
      </w:pPr>
      <w:r>
        <w:rPr>
          <w:rFonts w:ascii="Arial" w:hAnsi="Arial"/>
          <w:sz w:val="22"/>
        </w:rPr>
        <w:br/>
      </w:r>
      <w:r>
        <w:rPr>
          <w:rFonts w:ascii="Arial" w:hAnsi="Arial"/>
          <w:sz w:val="22"/>
        </w:rPr>
        <w:br/>
      </w:r>
    </w:p>
    <w:p>
      <w:pPr>
        <w:pStyle w:val="Heading1"/>
      </w:pPr>
      <w:r>
        <w:rPr>
          <w:rFonts w:ascii="Arial" w:hAnsi="Arial"/>
          <w:sz w:val="22"/>
        </w:rPr>
        <w:t>1. 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Arial" w:hAnsi="Arial"/>
                <w:sz w:val="22"/>
              </w:rPr>
              <w:t>Authority</w:t>
            </w:r>
          </w:p>
        </w:tc>
        <w:tc>
          <w:tcPr>
            <w:tcW w:type="dxa" w:w="3000"/>
          </w:tcPr>
          <w:p>
            <w:r>
              <w:rPr>
                <w:rFonts w:ascii="Arial" w:hAnsi="Arial"/>
                <w:sz w:val="22"/>
              </w:rPr>
              <w:t>Citation</w:t>
            </w:r>
          </w:p>
        </w:tc>
        <w:tc>
          <w:tcPr>
            <w:tcW w:type="dxa" w:w="3000"/>
          </w:tcPr>
          <w:p>
            <w:r>
              <w:rPr>
                <w:rFonts w:ascii="Arial" w:hAnsi="Arial"/>
                <w:sz w:val="22"/>
              </w:rPr>
              <w:t>Title/Description</w:t>
            </w:r>
          </w:p>
        </w:tc>
      </w:tr>
      <w:tr>
        <w:tc>
          <w:tcPr>
            <w:tcW w:type="dxa" w:w="3000"/>
          </w:tcPr>
          <w:p>
            <w:r>
              <w:rPr>
                <w:rFonts w:ascii="Arial" w:hAnsi="Arial"/>
                <w:sz w:val="22"/>
              </w:rPr>
              <w:t>OSHA</w:t>
            </w:r>
          </w:p>
        </w:tc>
        <w:tc>
          <w:tcPr>
            <w:tcW w:type="dxa" w:w="3000"/>
          </w:tcPr>
          <w:p>
            <w:r>
              <w:rPr>
                <w:rFonts w:ascii="Arial" w:hAnsi="Arial"/>
                <w:sz w:val="22"/>
              </w:rPr>
              <w:t>29</w:t>
            </w:r>
          </w:p>
        </w:tc>
        <w:tc>
          <w:tcPr>
            <w:tcW w:type="dxa" w:w="3000"/>
          </w:tcPr>
          <w:p>
            <w:r>
              <w:rPr>
                <w:rFonts w:ascii="Arial" w:hAnsi="Arial"/>
                <w:sz w:val="22"/>
              </w:rPr>
              <w:t>CFR 1903.2 Posting of Notice</w:t>
            </w:r>
          </w:p>
        </w:tc>
      </w:tr>
      <w:tr>
        <w:tc>
          <w:tcPr>
            <w:tcW w:type="dxa" w:w="3000"/>
          </w:tcPr>
          <w:p>
            <w:r>
              <w:rPr>
                <w:rFonts w:ascii="Arial" w:hAnsi="Arial"/>
                <w:sz w:val="22"/>
              </w:rPr>
              <w:t>OSHA</w:t>
            </w:r>
          </w:p>
        </w:tc>
        <w:tc>
          <w:tcPr>
            <w:tcW w:type="dxa" w:w="3000"/>
          </w:tcPr>
          <w:p>
            <w:r>
              <w:rPr>
                <w:rFonts w:ascii="Arial" w:hAnsi="Arial"/>
                <w:sz w:val="22"/>
              </w:rPr>
              <w:t>29</w:t>
            </w:r>
          </w:p>
        </w:tc>
        <w:tc>
          <w:tcPr>
            <w:tcW w:type="dxa" w:w="3000"/>
          </w:tcPr>
          <w:p>
            <w:r>
              <w:rPr>
                <w:rFonts w:ascii="Arial" w:hAnsi="Arial"/>
                <w:sz w:val="22"/>
              </w:rPr>
              <w:t>CFR 1903.16 Posting of Citations</w:t>
            </w:r>
          </w:p>
        </w:tc>
      </w:tr>
      <w:tr>
        <w:tc>
          <w:tcPr>
            <w:tcW w:type="dxa" w:w="3000"/>
          </w:tcPr>
          <w:p>
            <w:r>
              <w:rPr>
                <w:rFonts w:ascii="Arial" w:hAnsi="Arial"/>
                <w:sz w:val="22"/>
              </w:rPr>
              <w:t>WISHA</w:t>
            </w:r>
          </w:p>
        </w:tc>
        <w:tc>
          <w:tcPr>
            <w:tcW w:type="dxa" w:w="3000"/>
          </w:tcPr>
          <w:p>
            <w:r>
              <w:rPr>
                <w:rFonts w:ascii="Arial" w:hAnsi="Arial"/>
                <w:sz w:val="22"/>
              </w:rPr>
              <w:t>WAC</w:t>
            </w:r>
          </w:p>
        </w:tc>
        <w:tc>
          <w:tcPr>
            <w:tcW w:type="dxa" w:w="3000"/>
          </w:tcPr>
          <w:p>
            <w:r>
              <w:rPr>
                <w:rFonts w:ascii="Arial" w:hAnsi="Arial"/>
                <w:sz w:val="22"/>
              </w:rPr>
              <w:t>296-155-115 Safety Bulletin Board required postings</w:t>
            </w:r>
          </w:p>
        </w:tc>
      </w:tr>
      <w:tr>
        <w:tc>
          <w:tcPr>
            <w:tcW w:type="dxa" w:w="3000"/>
          </w:tcPr>
          <w:p>
            <w:r>
              <w:rPr>
                <w:rFonts w:ascii="Arial" w:hAnsi="Arial"/>
                <w:sz w:val="22"/>
              </w:rPr>
              <w:t>WISHA</w:t>
            </w:r>
          </w:p>
        </w:tc>
        <w:tc>
          <w:tcPr>
            <w:tcW w:type="dxa" w:w="3000"/>
          </w:tcPr>
          <w:p>
            <w:r>
              <w:rPr>
                <w:rFonts w:ascii="Arial" w:hAnsi="Arial"/>
                <w:sz w:val="22"/>
              </w:rPr>
              <w:t>WAC</w:t>
            </w:r>
          </w:p>
        </w:tc>
        <w:tc>
          <w:tcPr>
            <w:tcW w:type="dxa" w:w="3000"/>
          </w:tcPr>
          <w:p>
            <w:r>
              <w:rPr>
                <w:rFonts w:ascii="Arial" w:hAnsi="Arial"/>
                <w:sz w:val="22"/>
              </w:rPr>
              <w:t>296-800-350 Posting Requirements</w:t>
            </w:r>
          </w:p>
        </w:tc>
      </w:tr>
      <w:tr>
        <w:tc>
          <w:tcPr>
            <w:tcW w:type="dxa" w:w="3000"/>
          </w:tcPr>
          <w:p>
            <w:r>
              <w:rPr>
                <w:rFonts w:ascii="Arial" w:hAnsi="Arial"/>
                <w:sz w:val="22"/>
              </w:rPr>
              <w:t>AGC</w:t>
            </w:r>
          </w:p>
        </w:tc>
        <w:tc>
          <w:tcPr>
            <w:tcW w:type="dxa" w:w="3000"/>
          </w:tcPr>
          <w:p>
            <w:r>
              <w:rPr>
                <w:rFonts w:ascii="Arial" w:hAnsi="Arial"/>
                <w:sz w:val="22"/>
              </w:rPr>
              <w:t>Jobsite Safety Handbook</w:t>
            </w:r>
          </w:p>
        </w:tc>
        <w:tc>
          <w:tcPr>
            <w:tcW w:type="dxa" w:w="3000"/>
          </w:tcPr>
          <w:p>
            <w:r>
              <w:rPr>
                <w:rFonts w:ascii="Arial" w:hAnsi="Arial"/>
                <w:sz w:val="22"/>
              </w:rPr>
            </w:r>
          </w:p>
        </w:tc>
      </w:tr>
    </w:tbl>
    <w:p>
      <w:pPr>
        <w:pStyle w:val="Heading1"/>
      </w:pPr>
      <w:r>
        <w:rPr>
          <w:rFonts w:ascii="Arial" w:hAnsi="Arial"/>
          <w:sz w:val="22"/>
        </w:rPr>
        <w:t>2. PURPOSE</w:t>
      </w:r>
    </w:p>
    <w:p>
      <w:r>
        <w:rPr>
          <w:rFonts w:ascii="Arial" w:hAnsi="Arial"/>
          <w:sz w:val="22"/>
        </w:rPr>
        <w:t>This policy establishes guidelines for the proper use and maintenance of safety bulletin boards to ensure critical safety information is effectively communicated. It protects employees, subcontractors, and visitors by providing readily accessible information regarding workplace hazards, emergency procedures, and regulatory requirements.</w:t>
      </w:r>
    </w:p>
    <w:p>
      <w:pPr>
        <w:pStyle w:val="Heading1"/>
      </w:pPr>
      <w:r>
        <w:rPr>
          <w:rFonts w:ascii="Arial" w:hAnsi="Arial"/>
          <w:sz w:val="22"/>
        </w:rPr>
        <w:t>3. SCOPE</w:t>
      </w:r>
    </w:p>
    <w:p>
      <w:r>
        <w:rPr>
          <w:rFonts w:ascii="Arial" w:hAnsi="Arial"/>
          <w:sz w:val="22"/>
        </w:rPr>
        <w:t>This policy applies to all MH Construction, Inc. employees, subcontractors, and visitors on MH Construction job sites.</w:t>
      </w:r>
    </w:p>
    <w:p>
      <w:pPr>
        <w:pStyle w:val="Heading1"/>
      </w:pPr>
      <w:r>
        <w:rPr>
          <w:rFonts w:ascii="Arial" w:hAnsi="Arial"/>
          <w:sz w:val="22"/>
        </w:rPr>
        <w:t>4. DEFINITIONS</w:t>
      </w:r>
    </w:p>
    <w:tbl>
      <w:tblPr>
        <w:tblStyle w:val="TableGrid"/>
        <w:tblW w:type="auto" w:w="0"/>
        <w:tblLook w:firstColumn="1" w:firstRow="1" w:lastColumn="0" w:lastRow="0" w:noHBand="0" w:noVBand="1" w:val="04A0"/>
      </w:tblPr>
      <w:tblGrid>
        <w:gridCol w:w="4500"/>
        <w:gridCol w:w="4500"/>
      </w:tblGrid>
      <w:tr>
        <w:tc>
          <w:tcPr>
            <w:tcW w:type="dxa" w:w="4500"/>
          </w:tcPr>
          <w:p>
            <w:r>
              <w:rPr>
                <w:rFonts w:ascii="Arial" w:hAnsi="Arial"/>
                <w:sz w:val="22"/>
              </w:rPr>
              <w:t>Term</w:t>
            </w:r>
          </w:p>
        </w:tc>
        <w:tc>
          <w:tcPr>
            <w:tcW w:type="dxa" w:w="4500"/>
          </w:tcPr>
          <w:p>
            <w:r>
              <w:rPr>
                <w:rFonts w:ascii="Arial" w:hAnsi="Arial"/>
                <w:sz w:val="22"/>
              </w:rPr>
              <w:t>Definition</w:t>
            </w:r>
          </w:p>
        </w:tc>
      </w:tr>
      <w:tr>
        <w:tc>
          <w:tcPr>
            <w:tcW w:type="dxa" w:w="4500"/>
          </w:tcPr>
          <w:p>
            <w:r>
              <w:rPr>
                <w:rFonts w:ascii="Arial" w:hAnsi="Arial"/>
                <w:sz w:val="22"/>
              </w:rPr>
              <w:t>Safety Bulletin Board</w:t>
            </w:r>
          </w:p>
        </w:tc>
        <w:tc>
          <w:tcPr>
            <w:tcW w:type="dxa" w:w="4500"/>
          </w:tcPr>
          <w:p>
            <w:r>
              <w:rPr>
                <w:rFonts w:ascii="Arial" w:hAnsi="Arial"/>
                <w:sz w:val="22"/>
              </w:rPr>
              <w:t>A designated physical or digital display area used to post mandatory safety notices, warnings, and other pertinent information.</w:t>
            </w:r>
          </w:p>
        </w:tc>
      </w:tr>
      <w:tr>
        <w:tc>
          <w:tcPr>
            <w:tcW w:type="dxa" w:w="4500"/>
          </w:tcPr>
          <w:p>
            <w:r>
              <w:rPr>
                <w:rFonts w:ascii="Arial" w:hAnsi="Arial"/>
                <w:sz w:val="22"/>
              </w:rPr>
              <w:t>Regulatory Citations</w:t>
            </w:r>
          </w:p>
        </w:tc>
        <w:tc>
          <w:tcPr>
            <w:tcW w:type="dxa" w:w="4500"/>
          </w:tcPr>
          <w:p>
            <w:r>
              <w:rPr>
                <w:rFonts w:ascii="Arial" w:hAnsi="Arial"/>
                <w:sz w:val="22"/>
              </w:rPr>
              <w:t>Specific references to OSHA, WISHA, or other governmental safety standards that mandate certain practices or postings.</w:t>
            </w:r>
          </w:p>
        </w:tc>
      </w:tr>
      <w:tr>
        <w:tc>
          <w:tcPr>
            <w:tcW w:type="dxa" w:w="4500"/>
          </w:tcPr>
          <w:p>
            <w:r>
              <w:rPr>
                <w:rFonts w:ascii="Arial" w:hAnsi="Arial"/>
                <w:sz w:val="22"/>
              </w:rPr>
              <w:t>Emergency Procedures</w:t>
            </w:r>
          </w:p>
        </w:tc>
        <w:tc>
          <w:tcPr>
            <w:tcW w:type="dxa" w:w="4500"/>
          </w:tcPr>
          <w:p>
            <w:r>
              <w:rPr>
                <w:rFonts w:ascii="Arial" w:hAnsi="Arial"/>
                <w:sz w:val="22"/>
              </w:rPr>
              <w:t>Established protocols to be followed in the event of an unforeseen incident, such as fire, injury, or natural disaster.</w:t>
            </w:r>
          </w:p>
        </w:tc>
      </w:tr>
      <w:tr>
        <w:tc>
          <w:tcPr>
            <w:tcW w:type="dxa" w:w="4500"/>
          </w:tcPr>
          <w:p>
            <w:r>
              <w:rPr>
                <w:rFonts w:ascii="Arial" w:hAnsi="Arial"/>
                <w:sz w:val="22"/>
              </w:rPr>
              <w:t>Jobsite Safety Handbook</w:t>
            </w:r>
          </w:p>
        </w:tc>
        <w:tc>
          <w:tcPr>
            <w:tcW w:type="dxa" w:w="4500"/>
          </w:tcPr>
          <w:p>
            <w:r>
              <w:rPr>
                <w:rFonts w:ascii="Arial" w:hAnsi="Arial"/>
                <w:sz w:val="22"/>
              </w:rPr>
              <w:t>A comprehensive guide provided by the Associated General Contractors (AGC) detailing best practices and compliance requirements for construction site safety.</w:t>
            </w:r>
          </w:p>
        </w:tc>
      </w:tr>
      <w:tr>
        <w:tc>
          <w:tcPr>
            <w:tcW w:type="dxa" w:w="4500"/>
          </w:tcPr>
          <w:p>
            <w:r>
              <w:rPr>
                <w:rFonts w:ascii="Arial" w:hAnsi="Arial"/>
                <w:sz w:val="22"/>
              </w:rPr>
              <w:t>Posting Requirements</w:t>
            </w:r>
          </w:p>
        </w:tc>
        <w:tc>
          <w:tcPr>
            <w:tcW w:type="dxa" w:w="4500"/>
          </w:tcPr>
          <w:p>
            <w:r>
              <w:rPr>
                <w:rFonts w:ascii="Arial" w:hAnsi="Arial"/>
                <w:sz w:val="22"/>
              </w:rPr>
              <w:t>Mandatory display of specific notices, permits, or summaries as stipulated by regulatory bodies like OSHA and WISHA.</w:t>
            </w:r>
          </w:p>
        </w:tc>
      </w:tr>
    </w:tbl>
    <w:p>
      <w:pPr>
        <w:pStyle w:val="Heading1"/>
      </w:pPr>
      <w:r>
        <w:rPr>
          <w:rFonts w:ascii="Arial" w:hAnsi="Arial"/>
          <w:sz w:val="22"/>
        </w:rPr>
        <w:t>5. RESPONSIBILITIES</w:t>
      </w:r>
    </w:p>
    <w:p>
      <w:pPr>
        <w:pStyle w:val="Heading2"/>
      </w:pPr>
      <w:r>
        <w:rPr>
          <w:rFonts w:ascii="Arial" w:hAnsi="Arial"/>
          <w:sz w:val="22"/>
        </w:rPr>
        <w:t>5.1 Company/Management</w:t>
      </w:r>
    </w:p>
    <w:p>
      <w:pPr>
        <w:pStyle w:val="ListBullet"/>
      </w:pPr>
      <w:r>
        <w:rPr>
          <w:rFonts w:ascii="Arial" w:hAnsi="Arial"/>
          <w:sz w:val="22"/>
        </w:rPr>
        <w:t>The Company/Management is responsible for:</w:t>
      </w:r>
    </w:p>
    <w:p>
      <w:pPr>
        <w:pStyle w:val="ListBullet"/>
      </w:pPr>
      <w:r>
        <w:rPr>
          <w:rFonts w:ascii="Arial" w:hAnsi="Arial"/>
          <w:sz w:val="22"/>
        </w:rPr>
        <w:t>Providing and maintaining adequate safety bulletin boards.</w:t>
      </w:r>
    </w:p>
    <w:p>
      <w:pPr>
        <w:pStyle w:val="ListBullet"/>
      </w:pPr>
      <w:r>
        <w:rPr>
          <w:rFonts w:ascii="Arial" w:hAnsi="Arial"/>
          <w:sz w:val="22"/>
        </w:rPr>
        <w:t>Ensuring compliance with all federal and state posting requirements.</w:t>
      </w:r>
    </w:p>
    <w:p>
      <w:pPr>
        <w:pStyle w:val="ListBullet"/>
      </w:pPr>
      <w:r>
        <w:rPr>
          <w:rFonts w:ascii="Arial" w:hAnsi="Arial"/>
          <w:sz w:val="22"/>
        </w:rPr>
        <w:t>Allocating resources for the creation and distribution of safety information.</w:t>
      </w:r>
    </w:p>
    <w:p>
      <w:pPr>
        <w:pStyle w:val="Heading2"/>
      </w:pPr>
      <w:r>
        <w:rPr>
          <w:rFonts w:ascii="Arial" w:hAnsi="Arial"/>
          <w:sz w:val="22"/>
        </w:rPr>
        <w:t>5.2 Supervisor/Foreman</w:t>
      </w:r>
    </w:p>
    <w:p>
      <w:pPr>
        <w:pStyle w:val="ListBullet"/>
      </w:pPr>
      <w:r>
        <w:rPr>
          <w:rFonts w:ascii="Arial" w:hAnsi="Arial"/>
          <w:sz w:val="22"/>
        </w:rPr>
        <w:t>Supervisors/Foremen are responsible for:</w:t>
      </w:r>
    </w:p>
    <w:p>
      <w:pPr>
        <w:pStyle w:val="ListBullet"/>
      </w:pPr>
      <w:r>
        <w:rPr>
          <w:rFonts w:ascii="Arial" w:hAnsi="Arial"/>
          <w:sz w:val="22"/>
        </w:rPr>
        <w:t>Regularly checking bulletin boards for current and relevant information.</w:t>
      </w:r>
    </w:p>
    <w:p>
      <w:pPr>
        <w:pStyle w:val="ListBullet"/>
      </w:pPr>
      <w:r>
        <w:rPr>
          <w:rFonts w:ascii="Arial" w:hAnsi="Arial"/>
          <w:sz w:val="22"/>
        </w:rPr>
        <w:t>Ensuring all mandatory postings are present and legible.</w:t>
      </w:r>
    </w:p>
    <w:p>
      <w:pPr>
        <w:pStyle w:val="ListBullet"/>
      </w:pPr>
      <w:r>
        <w:rPr>
          <w:rFonts w:ascii="Arial" w:hAnsi="Arial"/>
          <w:sz w:val="22"/>
        </w:rPr>
        <w:t>Communicating key safety messages from the bulletin boards to their teams.</w:t>
      </w:r>
    </w:p>
    <w:p>
      <w:pPr>
        <w:pStyle w:val="Heading2"/>
      </w:pPr>
      <w:r>
        <w:rPr>
          <w:rFonts w:ascii="Arial" w:hAnsi="Arial"/>
          <w:sz w:val="22"/>
        </w:rPr>
        <w:t>5.3 Employee</w:t>
      </w:r>
    </w:p>
    <w:p>
      <w:pPr>
        <w:pStyle w:val="ListBullet"/>
      </w:pPr>
      <w:r>
        <w:rPr>
          <w:rFonts w:ascii="Arial" w:hAnsi="Arial"/>
          <w:sz w:val="22"/>
        </w:rPr>
        <w:t>Employees are responsible for:</w:t>
      </w:r>
    </w:p>
    <w:p>
      <w:pPr>
        <w:pStyle w:val="ListBullet"/>
      </w:pPr>
      <w:r>
        <w:rPr>
          <w:rFonts w:ascii="Arial" w:hAnsi="Arial"/>
          <w:sz w:val="22"/>
        </w:rPr>
        <w:t>Reviewing information posted on safety bulletin boards regularly.</w:t>
      </w:r>
    </w:p>
    <w:p>
      <w:pPr>
        <w:pStyle w:val="ListBullet"/>
      </w:pPr>
      <w:r>
        <w:rPr>
          <w:rFonts w:ascii="Arial" w:hAnsi="Arial"/>
          <w:sz w:val="22"/>
        </w:rPr>
        <w:t>Reporting any missing or outdated postings to their supervisor.</w:t>
      </w:r>
    </w:p>
    <w:p>
      <w:pPr>
        <w:pStyle w:val="ListBullet"/>
      </w:pPr>
      <w:r>
        <w:rPr>
          <w:rFonts w:ascii="Arial" w:hAnsi="Arial"/>
          <w:sz w:val="22"/>
        </w:rPr>
        <w:t>Adhering to all safety policies and procedures communicated via bulletin boards.</w:t>
      </w:r>
    </w:p>
    <w:p>
      <w:pPr>
        <w:pStyle w:val="Heading2"/>
      </w:pPr>
      <w:r>
        <w:rPr>
          <w:rFonts w:ascii="Arial" w:hAnsi="Arial"/>
          <w:sz w:val="22"/>
        </w:rPr>
        <w:t>5.4 Subcontractor</w:t>
      </w:r>
    </w:p>
    <w:p>
      <w:pPr>
        <w:pStyle w:val="ListBullet"/>
      </w:pPr>
      <w:r>
        <w:rPr>
          <w:rFonts w:ascii="Arial" w:hAnsi="Arial"/>
          <w:sz w:val="22"/>
        </w:rPr>
        <w:t>Subcontractors are responsible for:</w:t>
      </w:r>
    </w:p>
    <w:p>
      <w:pPr>
        <w:pStyle w:val="ListBullet"/>
      </w:pPr>
      <w:r>
        <w:rPr>
          <w:rFonts w:ascii="Arial" w:hAnsi="Arial"/>
          <w:sz w:val="22"/>
        </w:rPr>
        <w:t>Familiarizing themselves and their employees with information on MH Construction safety bulletin boards.</w:t>
      </w:r>
    </w:p>
    <w:p>
      <w:pPr>
        <w:pStyle w:val="ListBullet"/>
      </w:pPr>
      <w:r>
        <w:rPr>
          <w:rFonts w:ascii="Arial" w:hAnsi="Arial"/>
          <w:sz w:val="22"/>
        </w:rPr>
        <w:t>Complying with all safety directives and regulatory postings.</w:t>
      </w:r>
    </w:p>
    <w:p>
      <w:pPr>
        <w:pStyle w:val="ListBullet"/>
      </w:pPr>
      <w:r>
        <w:rPr>
          <w:rFonts w:ascii="Arial" w:hAnsi="Arial"/>
          <w:sz w:val="22"/>
        </w:rPr>
        <w:t>Maintaining their own required safety postings as per their contractual obligations.</w:t>
      </w:r>
    </w:p>
    <w:p>
      <w:pPr>
        <w:pStyle w:val="Heading1"/>
      </w:pPr>
      <w:r>
        <w:rPr>
          <w:rFonts w:ascii="Arial" w:hAnsi="Arial"/>
          <w:sz w:val="22"/>
        </w:rPr>
        <w:t>6. PROCEDURES / REQUIREMENTS</w:t>
      </w:r>
    </w:p>
    <w:p>
      <w:pPr>
        <w:pStyle w:val="Heading2"/>
      </w:pPr>
      <w:r>
        <w:rPr>
          <w:rFonts w:ascii="Arial" w:hAnsi="Arial"/>
          <w:sz w:val="22"/>
        </w:rPr>
        <w:t>6.1 General Posting Requirements</w:t>
      </w:r>
    </w:p>
    <w:p>
      <w:pPr>
        <w:pStyle w:val="ListNumber"/>
      </w:pPr>
      <w:r>
        <w:rPr>
          <w:rFonts w:ascii="Arial" w:hAnsi="Arial"/>
          <w:sz w:val="22"/>
        </w:rPr>
        <w:t>Safety bulletin boards shall be prominently displayed in a conspicuous location accessible to all employees, subcontractors, and visitors. Per 29 CFR 1903.2, the OSHA "Job Safety and Health: It\'s The Law!" poster must be displayed. Additionally, per WAC 296-155-115, specific Washington State required postings must be present.</w:t>
      </w:r>
    </w:p>
    <w:p>
      <w:pPr>
        <w:pStyle w:val="Heading2"/>
      </w:pPr>
      <w:r>
        <w:rPr>
          <w:rFonts w:ascii="Arial" w:hAnsi="Arial"/>
          <w:sz w:val="22"/>
        </w:rPr>
        <w:t>6.2 Mandatory Postings</w:t>
      </w:r>
    </w:p>
    <w:p>
      <w:pPr>
        <w:pStyle w:val="ListNumber"/>
      </w:pPr>
      <w:r>
        <w:rPr>
          <w:rFonts w:ascii="Arial" w:hAnsi="Arial"/>
          <w:sz w:val="22"/>
        </w:rPr>
        <w:t>The following items are mandatory postings on all MH Construction safety bulletin boards:</w:t>
      </w:r>
    </w:p>
    <w:p>
      <w:pPr>
        <w:pStyle w:val="ListBullet"/>
      </w:pPr>
      <w:r>
        <w:rPr>
          <w:rFonts w:ascii="Arial" w:hAnsi="Arial"/>
          <w:sz w:val="22"/>
        </w:rPr>
        <w:t>OSHA Poster (Job Safety and Health: It\'s The Law!)</w:t>
      </w:r>
    </w:p>
    <w:p>
      <w:pPr>
        <w:pStyle w:val="ListBullet"/>
      </w:pPr>
      <w:r>
        <w:rPr>
          <w:rFonts w:ascii="Arial" w:hAnsi="Arial"/>
          <w:sz w:val="22"/>
        </w:rPr>
        <w:t>WISHA Poster (Your Rights as a Worker)</w:t>
      </w:r>
    </w:p>
    <w:p>
      <w:pPr>
        <w:pStyle w:val="ListBullet"/>
      </w:pPr>
      <w:r>
        <w:rPr>
          <w:rFonts w:ascii="Arial" w:hAnsi="Arial"/>
          <w:sz w:val="22"/>
        </w:rPr>
        <w:t>Emergency contact information and procedures.</w:t>
      </w:r>
    </w:p>
    <w:p>
      <w:pPr>
        <w:pStyle w:val="ListBullet"/>
      </w:pPr>
      <w:r>
        <w:rPr>
          <w:rFonts w:ascii="Arial" w:hAnsi="Arial"/>
          <w:sz w:val="22"/>
        </w:rPr>
        <w:t>Company safety policy statement.</w:t>
      </w:r>
    </w:p>
    <w:p>
      <w:pPr>
        <w:pStyle w:val="ListBullet"/>
      </w:pPr>
      <w:r>
        <w:rPr>
          <w:rFonts w:ascii="Arial" w:hAnsi="Arial"/>
          <w:sz w:val="22"/>
        </w:rPr>
        <w:t>Workers\' Compensation information.</w:t>
      </w:r>
    </w:p>
    <w:p>
      <w:pPr>
        <w:pStyle w:val="ListBullet"/>
      </w:pPr>
      <w:r>
        <w:rPr>
          <w:rFonts w:ascii="Arial" w:hAnsi="Arial"/>
          <w:sz w:val="22"/>
        </w:rPr>
        <w:t>Safety data sheets (SDS) for hazardous materials present on site, or clear instructions on where to access them.</w:t>
      </w:r>
    </w:p>
    <w:p>
      <w:pPr>
        <w:pStyle w:val="ListBullet"/>
      </w:pPr>
      <w:r>
        <w:rPr>
          <w:rFonts w:ascii="Arial" w:hAnsi="Arial"/>
          <w:sz w:val="22"/>
        </w:rPr>
        <w:t>Current project-specific safety plan.</w:t>
      </w:r>
    </w:p>
    <w:p>
      <w:pPr>
        <w:pStyle w:val="Heading2"/>
      </w:pPr>
      <w:r>
        <w:rPr>
          <w:rFonts w:ascii="Arial" w:hAnsi="Arial"/>
          <w:sz w:val="22"/>
        </w:rPr>
        <w:t>6.3 Posting of Citations and Notices</w:t>
      </w:r>
    </w:p>
    <w:p>
      <w:pPr>
        <w:pStyle w:val="ListNumber"/>
      </w:pPr>
      <w:r>
        <w:rPr>
          <w:rFonts w:ascii="Arial" w:hAnsi="Arial"/>
          <w:sz w:val="22"/>
        </w:rPr>
        <w:t>Any OSHA citations or notices of unsafe conditions received by MH Construction must be posted immediately at or near the place of the violation for three working days or until the violation is abated, whichever is longer. Per 29 CFR 1903.16, these must remain posted for the specified period.</w:t>
      </w:r>
    </w:p>
    <w:p>
      <w:pPr>
        <w:pStyle w:val="Heading2"/>
      </w:pPr>
      <w:r>
        <w:rPr>
          <w:rFonts w:ascii="Arial" w:hAnsi="Arial"/>
          <w:sz w:val="22"/>
        </w:rPr>
        <w:t>6.4 Maintenance and Updates</w:t>
      </w:r>
    </w:p>
    <w:p>
      <w:pPr>
        <w:pStyle w:val="ListNumber"/>
      </w:pPr>
      <w:r>
        <w:rPr>
          <w:rFonts w:ascii="Arial" w:hAnsi="Arial"/>
          <w:sz w:val="22"/>
        </w:rPr>
        <w:t>Bulletin boards shall be kept neat, orderly, and up-to-date. Outdated or irrelevant information must be removed promptly. Supervisors are responsible for ensuring the accuracy and currency of all posted materials. Per WAC 296-800-350, employers must ensure that required notices are maintained in good condition.</w:t>
      </w:r>
    </w:p>
    <w:p>
      <w:pPr>
        <w:pStyle w:val="Heading2"/>
      </w:pPr>
      <w:r>
        <w:rPr>
          <w:rFonts w:ascii="Arial" w:hAnsi="Arial"/>
          <w:sz w:val="22"/>
        </w:rPr>
        <w:t>6.5 Accessibility</w:t>
      </w:r>
    </w:p>
    <w:p>
      <w:pPr>
        <w:pStyle w:val="ListNumber"/>
      </w:pPr>
      <w:r>
        <w:rPr>
          <w:rFonts w:ascii="Arial" w:hAnsi="Arial"/>
          <w:sz w:val="22"/>
        </w:rPr>
        <w:t>Safety bulletin boards must be located in areas easily accessible and visible to all personnel, such as break rooms, main entrances, or designated safety stations. They should be protected from weather and damage to ensure legibility.</w:t>
      </w:r>
    </w:p>
    <w:p>
      <w:pPr>
        <w:pStyle w:val="Heading2"/>
      </w:pPr>
      <w:r>
        <w:rPr>
          <w:rFonts w:ascii="Arial" w:hAnsi="Arial"/>
          <w:sz w:val="22"/>
        </w:rPr>
        <w:t>6.6 Digital Bulletin Boards</w:t>
      </w:r>
    </w:p>
    <w:p>
      <w:pPr>
        <w:pStyle w:val="ListNumber"/>
      </w:pPr>
      <w:r>
        <w:rPr>
          <w:rFonts w:ascii="Arial" w:hAnsi="Arial"/>
          <w:sz w:val="22"/>
        </w:rPr>
        <w:t>Where digital bulletin boards are utilized, they must meet the same accessibility and content requirements as physical boards. Digital displays must be regularly monitored for functionality and content accuracy, ensuring all mandatory postings are clearly visible and easily navigable.</w:t>
      </w:r>
    </w:p>
    <w:p>
      <w:pPr>
        <w:pStyle w:val="Heading2"/>
      </w:pPr>
      <w:r>
        <w:rPr>
          <w:rFonts w:ascii="Arial" w:hAnsi="Arial"/>
          <w:sz w:val="22"/>
        </w:rPr>
        <w:t>6.7 Language Requirements</w:t>
      </w:r>
    </w:p>
    <w:p>
      <w:pPr>
        <w:pStyle w:val="ListNumber"/>
      </w:pPr>
      <w:r>
        <w:rPr>
          <w:rFonts w:ascii="Arial" w:hAnsi="Arial"/>
          <w:sz w:val="22"/>
        </w:rPr>
        <w:t>Where a significant portion of the workforce speaks a language other than English, critical safety information and mandatory postings should be provided in those languages in addition to English, to ensure effective communication.</w:t>
      </w:r>
    </w:p>
    <w:p>
      <w:pPr>
        <w:pStyle w:val="Heading1"/>
      </w:pPr>
      <w:r>
        <w:rPr>
          <w:rFonts w:ascii="Arial" w:hAnsi="Arial"/>
          <w:sz w:val="22"/>
        </w:rPr>
        <w:t>7. TRAINING REQUIREMENTS</w:t>
      </w:r>
    </w:p>
    <w:p>
      <w:r>
        <w:rPr>
          <w:rFonts w:ascii="Arial" w:hAnsi="Arial"/>
          <w:sz w:val="22"/>
        </w:rPr>
        <w:t>All new employees and subcontractors shall be oriented to the location and content of safety bulletin boards during their initial site-specific safety orientation. Training shall cover the importance of reviewing posted information, identifying mandatory postings, and understanding emergency procedures. Documentation of this training shall be maintained by the Safety Officer. Applicable OSHA and WISHA training mandates related to hazard communication and emergency action plans are reinforced through these postings.</w:t>
      </w:r>
    </w:p>
    <w:p>
      <w:pPr>
        <w:pStyle w:val="Heading1"/>
      </w:pPr>
      <w:r>
        <w:rPr>
          <w:rFonts w:ascii="Arial" w:hAnsi="Arial"/>
          <w:sz w:val="22"/>
        </w:rPr>
        <w:t>8. INSPECTION AND ENFORCEMENT</w:t>
      </w:r>
    </w:p>
    <w:p>
      <w:r>
        <w:rPr>
          <w:rFonts w:ascii="Arial" w:hAnsi="Arial"/>
          <w:sz w:val="22"/>
        </w:rPr>
        <w:t>Supervisors and the Safety Officer will conduct weekly inspections of all safety bulletin boards to ensure compliance with posting requirements. Any deficiencies will be noted, and corrective actions will be implemented immediately. Non-compliance with posting requirements or failure to maintain bulletin boards will result in corrective action, which may include disciplinary measures for responsible parties.</w:t>
      </w:r>
    </w:p>
    <w:p>
      <w:pPr>
        <w:pStyle w:val="Heading1"/>
      </w:pPr>
      <w:r>
        <w:rPr>
          <w:rFonts w:ascii="Arial" w:hAnsi="Arial"/>
          <w:sz w:val="22"/>
        </w:rPr>
        <w:t>9. RECORDKEEPING</w:t>
      </w:r>
    </w:p>
    <w:p>
      <w:r>
        <w:rPr>
          <w:rFonts w:ascii="Arial" w:hAnsi="Arial"/>
          <w:sz w:val="22"/>
        </w:rPr>
        <w:t>Records of bulletin board inspections, including dates, findings, and corrective actions, shall be maintained by the Safety Officer for a minimum of three years. Documentation of employee and subcontractor orientation regarding bulletin board content will also be retained as part of their training records.</w:t>
      </w:r>
    </w:p>
    <w:p>
      <w:pPr>
        <w:pStyle w:val="Heading1"/>
      </w:pPr>
      <w:r>
        <w:rPr>
          <w:rFonts w:ascii="Arial" w:hAnsi="Arial"/>
          <w:sz w:val="22"/>
        </w:rPr>
        <w:t>10. VIOLATION CONSEQUENCES</w:t>
      </w:r>
    </w:p>
    <w:p>
      <w:r>
        <w:rPr>
          <w:rFonts w:ascii="Arial" w:hAnsi="Arial"/>
          <w:sz w:val="22"/>
        </w:rPr>
        <w:t>Failure to comply with the Safety Bulletin Board policy may result in disciplinary action, up to and including termination of employment or contract. Violations may also lead to regulatory fines and penalties for MH Construction, Inc. All personnel are expected to adhere strictly to these requirements to maintain a safe working environment.</w:t>
      </w:r>
    </w:p>
    <w:p>
      <w:pPr>
        <w:pStyle w:val="Heading1"/>
      </w:pPr>
      <w:r>
        <w:rPr>
          <w:rFonts w:ascii="Arial" w:hAnsi="Arial"/>
          <w:sz w:val="22"/>
        </w:rPr>
        <w:t>11. REFERENCES</w:t>
      </w:r>
    </w:p>
    <w:p>
      <w:r>
        <w:rPr>
          <w:rFonts w:ascii="Arial" w:hAnsi="Arial"/>
          <w:sz w:val="22"/>
        </w:rPr>
        <w:t>OSHA: 29 CFR 1903.2 Posting of Notice</w:t>
      </w:r>
    </w:p>
    <w:p>
      <w:r>
        <w:rPr>
          <w:rFonts w:ascii="Arial" w:hAnsi="Arial"/>
          <w:sz w:val="22"/>
        </w:rPr>
        <w:t>OSHA: 29 CFR 1903.16 Posting of Citations</w:t>
      </w:r>
    </w:p>
    <w:p>
      <w:r>
        <w:rPr>
          <w:rFonts w:ascii="Arial" w:hAnsi="Arial"/>
          <w:sz w:val="22"/>
        </w:rPr>
        <w:t>WISHA: WAC 296-155-115 Safety Bulletin Board required postings</w:t>
      </w:r>
    </w:p>
    <w:p>
      <w:r>
        <w:rPr>
          <w:rFonts w:ascii="Arial" w:hAnsi="Arial"/>
          <w:sz w:val="22"/>
        </w:rPr>
        <w:t>WISHA: WAC 296-800-350 Posting Requirements</w:t>
      </w:r>
    </w:p>
    <w:p>
      <w:r>
        <w:rPr>
          <w:rFonts w:ascii="Arial" w:hAnsi="Arial"/>
          <w:sz w:val="22"/>
        </w:rPr>
        <w:t>AGC: Jobsite Safety Handbook</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BC73EBC-3B52-4ADF-B943-6BD7513BF80D}"/>
</file>

<file path=customXml/itemProps3.xml><?xml version="1.0" encoding="utf-8"?>
<ds:datastoreItem xmlns:ds="http://schemas.openxmlformats.org/officeDocument/2006/customXml" ds:itemID="{9C32E86F-3791-48C4-B5DC-2AFEA2399F08}"/>
</file>

<file path=customXml/itemProps4.xml><?xml version="1.0" encoding="utf-8"?>
<ds:datastoreItem xmlns:ds="http://schemas.openxmlformats.org/officeDocument/2006/customXml" ds:itemID="{5E92E541-4346-46B3-A5C7-7D49EBF4FB4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