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32"/>
          <w:u w:val="none"/>
        </w:rPr>
        <w:t>MH CONSTRUCTION, INC.</w:t>
      </w:r>
    </w:p>
    <w:p>
      <w:pPr>
        <w:jc w:val="center"/>
      </w:pPr>
      <w:r>
        <w:rPr>
          <w:rFonts w:ascii="Arial" w:hAnsi="Arial"/>
          <w:b w:val="0"/>
          <w:i w:val="0"/>
          <w:sz w:val="24"/>
          <w:u w:val="none"/>
        </w:rPr>
        <w:t>Industrial Safety &amp; Health Program (MISH)</w:t>
      </w:r>
    </w:p>
    <w:p>
      <w:pPr>
        <w:jc w:val="center"/>
      </w:pPr>
      <w:r>
        <w:rPr>
          <w:rFonts w:ascii="Arial" w:hAnsi="Arial"/>
          <w:b w:val="0"/>
          <w:i w:val="0"/>
          <w:sz w:val="24"/>
          <w:u w:val="none"/>
        </w:rPr>
        <w:t>MISH 09 | Safety and Health Meetings/Inspections</w:t>
      </w:r>
    </w:p>
    <w:p>
      <w:pPr>
        <w:jc w:val="center"/>
      </w:pPr>
      <w:r>
        <w:rPr>
          <w:rFonts w:ascii="Arial" w:hAnsi="Arial"/>
          <w:b w:val="0"/>
          <w:i w:val="0"/>
          <w:sz w:val="20"/>
          <w:u w:val="none"/>
        </w:rPr>
        <w:t>Revision 3 | Effective: 04/07/2026 | Safety Officer: Matt Ramsey</w:t>
      </w:r>
    </w:p>
    <w:p>
      <w:pPr>
        <w:jc w:val="center"/>
      </w:pPr>
      <w:r>
        <w:t>────────────────────────────────────────────────────────────────────────────────</w:t>
      </w:r>
    </w:p>
    <w:p/>
    <w:p>
      <w:pPr>
        <w:pStyle w:val="Heading1"/>
      </w:pPr>
      <w:r>
        <w:rPr>
          <w:rFonts w:ascii="Arial" w:hAnsi="Arial"/>
          <w:b/>
          <w:sz w:val="24"/>
        </w:rP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Arial" w:hAnsi="Arial"/>
                <w:b/>
                <w:sz w:val="22"/>
              </w:rPr>
              <w:t>Authority</w:t>
            </w:r>
          </w:p>
        </w:tc>
        <w:tc>
          <w:tcPr>
            <w:tcW w:type="dxa" w:w="3000"/>
          </w:tcPr>
          <w:p>
            <w:r>
              <w:rPr>
                <w:rFonts w:ascii="Arial" w:hAnsi="Arial"/>
                <w:b/>
                <w:sz w:val="22"/>
              </w:rPr>
              <w:t>Citation</w:t>
            </w:r>
          </w:p>
        </w:tc>
        <w:tc>
          <w:tcPr>
            <w:tcW w:type="dxa" w:w="3000"/>
          </w:tcPr>
          <w:p>
            <w:r>
              <w:rPr>
                <w:rFonts w:ascii="Arial" w:hAnsi="Arial"/>
                <w:b/>
                <w:sz w:val="22"/>
              </w:rPr>
              <w:t>Title/Description</w:t>
            </w:r>
          </w:p>
        </w:tc>
      </w:tr>
      <w:tr>
        <w:tc>
          <w:tcPr>
            <w:tcW w:type="dxa" w:w="3000"/>
          </w:tcPr>
          <w:p>
            <w:r>
              <w:rPr>
                <w:rFonts w:ascii="Arial" w:hAnsi="Arial"/>
                <w:sz w:val="22"/>
              </w:rPr>
              <w:t>OSHA</w:t>
            </w:r>
          </w:p>
        </w:tc>
        <w:tc>
          <w:tcPr>
            <w:tcW w:type="dxa" w:w="3000"/>
          </w:tcPr>
          <w:p>
            <w:r>
              <w:rPr>
                <w:rFonts w:ascii="Arial" w:hAnsi="Arial"/>
                <w:sz w:val="22"/>
              </w:rPr>
              <w:t>29 CFR</w:t>
            </w:r>
          </w:p>
        </w:tc>
        <w:tc>
          <w:tcPr>
            <w:tcW w:type="dxa" w:w="3000"/>
          </w:tcPr>
          <w:p>
            <w:r>
              <w:rPr>
                <w:rFonts w:ascii="Arial" w:hAnsi="Arial"/>
                <w:sz w:val="22"/>
              </w:rPr>
              <w:t>1926.20(b)(2) Frequent and regular inspections of jobsites</w:t>
            </w:r>
          </w:p>
        </w:tc>
      </w:tr>
      <w:tr>
        <w:tc>
          <w:tcPr>
            <w:tcW w:type="dxa" w:w="3000"/>
          </w:tcPr>
          <w:p>
            <w:r>
              <w:rPr>
                <w:rFonts w:ascii="Arial" w:hAnsi="Arial"/>
                <w:sz w:val="22"/>
              </w:rPr>
              <w:t>WISHA</w:t>
            </w:r>
          </w:p>
        </w:tc>
        <w:tc>
          <w:tcPr>
            <w:tcW w:type="dxa" w:w="3000"/>
          </w:tcPr>
          <w:p>
            <w:r>
              <w:rPr>
                <w:rFonts w:ascii="Arial" w:hAnsi="Arial"/>
                <w:sz w:val="22"/>
              </w:rPr>
              <w:t>WAC 296-155-110(4)</w:t>
            </w:r>
          </w:p>
        </w:tc>
        <w:tc>
          <w:tcPr>
            <w:tcW w:type="dxa" w:w="3000"/>
          </w:tcPr>
          <w:p>
            <w:r>
              <w:rPr>
                <w:rFonts w:ascii="Arial" w:hAnsi="Arial"/>
                <w:sz w:val="22"/>
              </w:rPr>
              <w:t>Accident Prevention Program Inspections and Meetings</w:t>
            </w:r>
          </w:p>
        </w:tc>
      </w:tr>
      <w:tr>
        <w:tc>
          <w:tcPr>
            <w:tcW w:type="dxa" w:w="3000"/>
          </w:tcPr>
          <w:p>
            <w:r>
              <w:rPr>
                <w:rFonts w:ascii="Arial" w:hAnsi="Arial"/>
                <w:sz w:val="22"/>
              </w:rPr>
              <w:t>AGC</w:t>
            </w:r>
          </w:p>
        </w:tc>
        <w:tc>
          <w:tcPr>
            <w:tcW w:type="dxa" w:w="3000"/>
          </w:tcPr>
          <w:p>
            <w:r>
              <w:rPr>
                <w:rFonts w:ascii="Arial" w:hAnsi="Arial"/>
                <w:sz w:val="22"/>
              </w:rPr>
            </w:r>
          </w:p>
        </w:tc>
        <w:tc>
          <w:tcPr>
            <w:tcW w:type="dxa" w:w="3000"/>
          </w:tcPr>
          <w:p>
            <w:r>
              <w:rPr>
                <w:rFonts w:ascii="Arial" w:hAnsi="Arial"/>
                <w:sz w:val="22"/>
              </w:rPr>
              <w:t>SHIP Best Practices Handbook Ch. 3; AGC Toolbox Talks Program</w:t>
            </w:r>
          </w:p>
        </w:tc>
      </w:tr>
    </w:tbl>
    <w:p/>
    <w:p>
      <w:pPr>
        <w:pStyle w:val="Heading1"/>
      </w:pPr>
      <w:r>
        <w:rPr>
          <w:rFonts w:ascii="Arial" w:hAnsi="Arial"/>
          <w:b/>
          <w:sz w:val="24"/>
        </w:rPr>
        <w:t>2. Purpose</w:t>
      </w:r>
    </w:p>
    <w:p>
      <w:pPr/>
      <w:r>
        <w:rPr>
          <w:rFonts w:ascii="Arial" w:hAnsi="Arial"/>
          <w:b w:val="0"/>
          <w:i w:val="0"/>
          <w:sz w:val="22"/>
          <w:u w:val="none"/>
        </w:rPr>
        <w:t>This policy establishes guidelines for regular safety and health meetings and inspections to proactively identify and mitigate workplace hazards. It aims to ensure a safe working environment for all personnel by promoting continuous hazard recognition and control, thereby preventing accidents and occupational illnesses.</w:t>
      </w:r>
    </w:p>
    <w:p>
      <w:pPr>
        <w:pStyle w:val="Heading1"/>
      </w:pPr>
      <w:r>
        <w:rPr>
          <w:rFonts w:ascii="Arial" w:hAnsi="Arial"/>
          <w:b/>
          <w:sz w:val="24"/>
        </w:rPr>
        <w:t>3. Scope</w:t>
      </w:r>
    </w:p>
    <w:p>
      <w:pPr/>
      <w:r>
        <w:rPr>
          <w:rFonts w:ascii="Arial" w:hAnsi="Arial"/>
          <w:b w:val="0"/>
          <w:i w:val="0"/>
          <w:sz w:val="22"/>
          <w:u w:val="none"/>
        </w:rPr>
        <w:t>This policy applies to all MH Construction, Inc. employees, subcontractors, and visitors present on MH Construction job sites.</w:t>
      </w:r>
    </w:p>
    <w:p>
      <w:pPr>
        <w:pStyle w:val="Heading1"/>
      </w:pPr>
      <w:r>
        <w:rPr>
          <w:rFonts w:ascii="Arial" w:hAnsi="Arial"/>
          <w:b/>
          <w:sz w:val="24"/>
        </w:rPr>
        <w:t>4. Definitions</w:t>
      </w:r>
    </w:p>
    <w:tbl>
      <w:tblPr>
        <w:tblStyle w:val="TableGrid"/>
        <w:tblW w:type="auto" w:w="0"/>
        <w:tblLook w:firstColumn="1" w:firstRow="1" w:lastColumn="0" w:lastRow="0" w:noHBand="0" w:noVBand="1" w:val="04A0"/>
      </w:tblPr>
      <w:tblGrid>
        <w:gridCol w:w="4500"/>
        <w:gridCol w:w="4500"/>
      </w:tblGrid>
      <w:tr>
        <w:tc>
          <w:tcPr>
            <w:tcW w:type="dxa" w:w="4500"/>
          </w:tcPr>
          <w:p>
            <w:r>
              <w:rPr>
                <w:rFonts w:ascii="Arial" w:hAnsi="Arial"/>
                <w:b/>
                <w:sz w:val="22"/>
              </w:rPr>
              <w:t>Term</w:t>
            </w:r>
          </w:p>
        </w:tc>
        <w:tc>
          <w:tcPr>
            <w:tcW w:type="dxa" w:w="4500"/>
          </w:tcPr>
          <w:p>
            <w:r>
              <w:rPr>
                <w:rFonts w:ascii="Arial" w:hAnsi="Arial"/>
                <w:b/>
                <w:sz w:val="22"/>
              </w:rPr>
              <w:t>Definition</w:t>
            </w:r>
          </w:p>
        </w:tc>
      </w:tr>
      <w:tr>
        <w:tc>
          <w:tcPr>
            <w:tcW w:type="dxa" w:w="4500"/>
          </w:tcPr>
          <w:p>
            <w:r>
              <w:rPr>
                <w:rFonts w:ascii="Arial" w:hAnsi="Arial"/>
                <w:sz w:val="22"/>
              </w:rPr>
              <w:t>Jobsite Inspection</w:t>
            </w:r>
          </w:p>
        </w:tc>
        <w:tc>
          <w:tcPr>
            <w:tcW w:type="dxa" w:w="4500"/>
          </w:tcPr>
          <w:p>
            <w:r>
              <w:rPr>
                <w:rFonts w:ascii="Arial" w:hAnsi="Arial"/>
                <w:sz w:val="22"/>
              </w:rPr>
              <w:t>A systematic examination of a work area to identify potential hazards, unsafe conditions, and non-compliant practices.</w:t>
            </w:r>
          </w:p>
        </w:tc>
      </w:tr>
      <w:tr>
        <w:tc>
          <w:tcPr>
            <w:tcW w:type="dxa" w:w="4500"/>
          </w:tcPr>
          <w:p>
            <w:r>
              <w:rPr>
                <w:rFonts w:ascii="Arial" w:hAnsi="Arial"/>
                <w:sz w:val="22"/>
              </w:rPr>
              <w:t>Safety Meeting</w:t>
            </w:r>
          </w:p>
        </w:tc>
        <w:tc>
          <w:tcPr>
            <w:tcW w:type="dxa" w:w="4500"/>
          </w:tcPr>
          <w:p>
            <w:r>
              <w:rPr>
                <w:rFonts w:ascii="Arial" w:hAnsi="Arial"/>
                <w:sz w:val="22"/>
              </w:rPr>
              <w:t>A formal gathering of personnel to discuss safety performance, review incidents, communicate new policies, and provide safety training.</w:t>
            </w:r>
          </w:p>
        </w:tc>
      </w:tr>
      <w:tr>
        <w:tc>
          <w:tcPr>
            <w:tcW w:type="dxa" w:w="4500"/>
          </w:tcPr>
          <w:p>
            <w:r>
              <w:rPr>
                <w:rFonts w:ascii="Arial" w:hAnsi="Arial"/>
                <w:sz w:val="22"/>
              </w:rPr>
              <w:t>Hazard</w:t>
            </w:r>
          </w:p>
        </w:tc>
        <w:tc>
          <w:tcPr>
            <w:tcW w:type="dxa" w:w="4500"/>
          </w:tcPr>
          <w:p>
            <w:r>
              <w:rPr>
                <w:rFonts w:ascii="Arial" w:hAnsi="Arial"/>
                <w:sz w:val="22"/>
              </w:rPr>
              <w:t>A condition or practice that has the potential to cause injury, illness, or property damage.</w:t>
            </w:r>
          </w:p>
        </w:tc>
      </w:tr>
      <w:tr>
        <w:tc>
          <w:tcPr>
            <w:tcW w:type="dxa" w:w="4500"/>
          </w:tcPr>
          <w:p>
            <w:r>
              <w:rPr>
                <w:rFonts w:ascii="Arial" w:hAnsi="Arial"/>
                <w:sz w:val="22"/>
              </w:rPr>
              <w:t>Competent Person</w:t>
            </w:r>
          </w:p>
        </w:tc>
        <w:tc>
          <w:tcPr>
            <w:tcW w:type="dxa" w:w="4500"/>
          </w:tcPr>
          <w:p>
            <w:r>
              <w:rPr>
                <w:rFonts w:ascii="Arial" w:hAnsi="Arial"/>
                <w:sz w:val="22"/>
              </w:rP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rPr>
                <w:rFonts w:ascii="Arial" w:hAnsi="Arial"/>
                <w:sz w:val="22"/>
              </w:rPr>
              <w:t>Corrective Action</w:t>
            </w:r>
          </w:p>
        </w:tc>
        <w:tc>
          <w:tcPr>
            <w:tcW w:type="dxa" w:w="4500"/>
          </w:tcPr>
          <w:p>
            <w:r>
              <w:rPr>
                <w:rFonts w:ascii="Arial" w:hAnsi="Arial"/>
                <w:sz w:val="22"/>
              </w:rPr>
              <w:t>Measures taken to eliminate the causes of an existing nonconformity or other undesirable situation.</w:t>
            </w:r>
          </w:p>
        </w:tc>
      </w:tr>
    </w:tbl>
    <w:p/>
    <w:p>
      <w:pPr>
        <w:pStyle w:val="Heading1"/>
      </w:pPr>
      <w:r>
        <w:rPr>
          <w:rFonts w:ascii="Arial" w:hAnsi="Arial"/>
          <w:b/>
          <w:sz w:val="24"/>
        </w:rPr>
        <w:t>5. Responsibilities</w:t>
      </w:r>
    </w:p>
    <w:p>
      <w:pPr>
        <w:pStyle w:val="Heading2"/>
      </w:pPr>
      <w:r>
        <w:rPr>
          <w:rFonts w:ascii="Arial" w:hAnsi="Arial"/>
          <w:b/>
          <w:sz w:val="24"/>
        </w:rPr>
        <w:t>5.1. Company/Management</w:t>
      </w:r>
    </w:p>
    <w:p>
      <w:pPr>
        <w:pStyle w:val="ListBullet"/>
      </w:pPr>
      <w:r>
        <w:rPr>
          <w:rFonts w:ascii="Arial" w:hAnsi="Arial"/>
        </w:rPr>
        <w:t>Provide necessary resources (time, personnel, equipment) for effective safety meetings and jobsite inspections.</w:t>
      </w:r>
    </w:p>
    <w:p>
      <w:pPr>
        <w:pStyle w:val="ListBullet"/>
      </w:pPr>
      <w:r>
        <w:rPr>
          <w:rFonts w:ascii="Arial" w:hAnsi="Arial"/>
        </w:rPr>
        <w:t>Establish and maintain a comprehensive Accident Prevention Program (APP) as required by WISHA WAC 296-155-110.</w:t>
      </w:r>
    </w:p>
    <w:p>
      <w:pPr>
        <w:pStyle w:val="ListBullet"/>
      </w:pPr>
      <w:r>
        <w:rPr>
          <w:rFonts w:ascii="Arial" w:hAnsi="Arial"/>
        </w:rPr>
        <w:t>Ensure that all personnel involved in inspections are adequately trained and competent.</w:t>
      </w:r>
    </w:p>
    <w:p>
      <w:pPr>
        <w:pStyle w:val="Heading2"/>
      </w:pPr>
      <w:r>
        <w:rPr>
          <w:rFonts w:ascii="Arial" w:hAnsi="Arial"/>
          <w:b/>
          <w:sz w:val="24"/>
        </w:rPr>
        <w:t>5.2. Supervisor/Foreman</w:t>
      </w:r>
    </w:p>
    <w:p>
      <w:pPr>
        <w:pStyle w:val="ListBullet"/>
      </w:pPr>
      <w:r>
        <w:rPr>
          <w:rFonts w:ascii="Arial" w:hAnsi="Arial"/>
        </w:rPr>
        <w:t>Conduct frequent and regular inspections of jobsites to identify and correct hazards, as per OSHA 29 CFR 1926.20(b)(2).</w:t>
      </w:r>
    </w:p>
    <w:p>
      <w:pPr>
        <w:pStyle w:val="ListBullet"/>
      </w:pPr>
      <w:r>
        <w:rPr>
          <w:rFonts w:ascii="Arial" w:hAnsi="Arial"/>
        </w:rPr>
        <w:t>Lead and document regular safety meetings, including toolbox talks, with their crews.</w:t>
      </w:r>
    </w:p>
    <w:p>
      <w:pPr>
        <w:pStyle w:val="ListBullet"/>
      </w:pPr>
      <w:r>
        <w:rPr>
          <w:rFonts w:ascii="Arial" w:hAnsi="Arial"/>
        </w:rPr>
        <w:t>Ensure immediate corrective action is taken for identified hazards and communicate resolutions to affected employees.</w:t>
      </w:r>
    </w:p>
    <w:p>
      <w:pPr>
        <w:pStyle w:val="ListBullet"/>
      </w:pPr>
      <w:r>
        <w:rPr>
          <w:rFonts w:ascii="Arial" w:hAnsi="Arial"/>
        </w:rPr>
        <w:t>Train employees on safe work practices and the proper use of equipment.</w:t>
      </w:r>
    </w:p>
    <w:p>
      <w:pPr>
        <w:pStyle w:val="Heading2"/>
      </w:pPr>
      <w:r>
        <w:rPr>
          <w:rFonts w:ascii="Arial" w:hAnsi="Arial"/>
          <w:b/>
          <w:sz w:val="24"/>
        </w:rPr>
        <w:t>5.3. Employees</w:t>
      </w:r>
    </w:p>
    <w:p>
      <w:pPr>
        <w:pStyle w:val="ListBullet"/>
      </w:pPr>
      <w:r>
        <w:rPr>
          <w:rFonts w:ascii="Arial" w:hAnsi="Arial"/>
        </w:rPr>
        <w:t>Actively participate in safety meetings and jobsite inspections.</w:t>
      </w:r>
    </w:p>
    <w:p>
      <w:pPr>
        <w:pStyle w:val="ListBullet"/>
      </w:pPr>
      <w:r>
        <w:rPr>
          <w:rFonts w:ascii="Arial" w:hAnsi="Arial"/>
        </w:rPr>
        <w:t>Report all unsafe conditions, hazards, and incidents to their supervisor immediately.</w:t>
      </w:r>
    </w:p>
    <w:p>
      <w:pPr>
        <w:pStyle w:val="ListBullet"/>
      </w:pPr>
      <w:r>
        <w:rPr>
          <w:rFonts w:ascii="Arial" w:hAnsi="Arial"/>
        </w:rPr>
        <w:t>Comply with all safety rules, procedures, and instructions.</w:t>
      </w:r>
    </w:p>
    <w:p>
      <w:pPr>
        <w:pStyle w:val="Heading2"/>
      </w:pPr>
      <w:r>
        <w:rPr>
          <w:rFonts w:ascii="Arial" w:hAnsi="Arial"/>
          <w:b/>
          <w:sz w:val="24"/>
        </w:rPr>
        <w:t>5.4. Subcontractors</w:t>
      </w:r>
    </w:p>
    <w:p>
      <w:pPr>
        <w:pStyle w:val="ListBullet"/>
      </w:pPr>
      <w:r>
        <w:rPr>
          <w:rFonts w:ascii="Arial" w:hAnsi="Arial"/>
        </w:rPr>
        <w:t>Adhere to MH Construction's safety policies and procedures while on MHC jobsites.</w:t>
      </w:r>
    </w:p>
    <w:p>
      <w:pPr>
        <w:pStyle w:val="ListBullet"/>
      </w:pPr>
      <w:r>
        <w:rPr>
          <w:rFonts w:ascii="Arial" w:hAnsi="Arial"/>
        </w:rPr>
        <w:t>Conduct their own safety meetings and inspections, coordinating findings with MHC site supervision.</w:t>
      </w:r>
    </w:p>
    <w:p>
      <w:pPr>
        <w:pStyle w:val="ListBullet"/>
      </w:pPr>
      <w:r>
        <w:rPr>
          <w:rFonts w:ascii="Arial" w:hAnsi="Arial"/>
        </w:rPr>
        <w:t>Ensure their employees are trained and follow safe work practices.</w:t>
      </w:r>
    </w:p>
    <w:p>
      <w:pPr>
        <w:pStyle w:val="Heading1"/>
      </w:pPr>
      <w:r>
        <w:rPr>
          <w:rFonts w:ascii="Arial" w:hAnsi="Arial"/>
          <w:b/>
          <w:sz w:val="24"/>
        </w:rPr>
        <w:t>6. Procedures / Requirements</w:t>
      </w:r>
    </w:p>
    <w:p>
      <w:pPr>
        <w:pStyle w:val="Heading2"/>
      </w:pPr>
      <w:r>
        <w:rPr>
          <w:rFonts w:ascii="Arial" w:hAnsi="Arial"/>
          <w:b/>
          <w:sz w:val="24"/>
        </w:rPr>
        <w:t>6.1. Frequency of Inspections</w:t>
      </w:r>
    </w:p>
    <w:p>
      <w:pPr>
        <w:pStyle w:val="ListNumber"/>
      </w:pPr>
      <w:r>
        <w:rPr>
          <w:rFonts w:ascii="Arial" w:hAnsi="Arial"/>
        </w:rPr>
        <w:t>Jobsite inspections shall be conducted frequently and regularly by a competent person, as required by OSHA 29 CFR 1926.20(b)(2). The frequency will be determined by the nature of the work, hazards present, and project phase, but no less than weekly for active construction sites.</w:t>
      </w:r>
    </w:p>
    <w:p>
      <w:pPr>
        <w:pStyle w:val="Heading2"/>
      </w:pPr>
      <w:r>
        <w:rPr>
          <w:rFonts w:ascii="Arial" w:hAnsi="Arial"/>
          <w:b/>
          <w:sz w:val="24"/>
        </w:rPr>
        <w:t>6.2. Inspection Personnel</w:t>
      </w:r>
    </w:p>
    <w:p>
      <w:pPr>
        <w:pStyle w:val="ListNumber"/>
      </w:pPr>
      <w:r>
        <w:rPr>
          <w:rFonts w:ascii="Arial" w:hAnsi="Arial"/>
        </w:rPr>
        <w:t>Inspections shall be conducted by supervisors, foremen, or designated competent persons who have the authority to correct hazards immediately.</w:t>
      </w:r>
    </w:p>
    <w:p>
      <w:pPr>
        <w:pStyle w:val="ListNumber"/>
      </w:pPr>
      <w:r>
        <w:rPr>
          <w:rFonts w:ascii="Arial" w:hAnsi="Arial"/>
        </w:rPr>
        <w:t>The safety officer will conduct periodic comprehensive inspections.</w:t>
      </w:r>
    </w:p>
    <w:p>
      <w:pPr>
        <w:pStyle w:val="Heading2"/>
      </w:pPr>
      <w:r>
        <w:rPr>
          <w:rFonts w:ascii="Arial" w:hAnsi="Arial"/>
          <w:b/>
          <w:sz w:val="24"/>
        </w:rPr>
        <w:t>6.3. Inspection Process</w:t>
      </w:r>
    </w:p>
    <w:p>
      <w:pPr>
        <w:pStyle w:val="ListNumber"/>
      </w:pPr>
      <w:r>
        <w:rPr>
          <w:rFonts w:ascii="Arial" w:hAnsi="Arial"/>
        </w:rPr>
        <w:t>Inspectors will use a standardized checklist to ensure all areas and potential hazards are covered. This includes, but is not limited to, fall protection, scaffolding, electrical safety, excavation safety, and personal protective equipment (PPE).</w:t>
      </w:r>
    </w:p>
    <w:p>
      <w:pPr>
        <w:pStyle w:val="ListNumber"/>
      </w:pPr>
      <w:r>
        <w:rPr>
          <w:rFonts w:ascii="Arial" w:hAnsi="Arial"/>
        </w:rPr>
        <w:t>Any identified hazards must be documented, including the location, description, responsible party for correction, and target completion date.</w:t>
      </w:r>
    </w:p>
    <w:p>
      <w:pPr>
        <w:pStyle w:val="ListNumber"/>
      </w:pPr>
      <w:r>
        <w:rPr>
          <w:rFonts w:ascii="Arial" w:hAnsi="Arial"/>
        </w:rPr>
        <w:t>Immediate corrective action must be taken for imminent danger situations. For other hazards, a reasonable timeline for correction will be established and followed up.</w:t>
      </w:r>
    </w:p>
    <w:p>
      <w:pPr>
        <w:pStyle w:val="Heading2"/>
      </w:pPr>
      <w:r>
        <w:rPr>
          <w:rFonts w:ascii="Arial" w:hAnsi="Arial"/>
          <w:b/>
          <w:sz w:val="24"/>
        </w:rPr>
        <w:t>6.4. Safety Meetings (Toolbox Talks)</w:t>
      </w:r>
    </w:p>
    <w:p>
      <w:pPr>
        <w:pStyle w:val="ListNumber"/>
      </w:pPr>
      <w:r>
        <w:rPr>
          <w:rFonts w:ascii="Arial" w:hAnsi="Arial"/>
        </w:rPr>
        <w:t>Supervisors shall conduct regular safety meetings (e.g., daily huddles, weekly toolbox talks) with their crews to discuss current jobsite hazards, safe work procedures, and review recent incidents. These meetings fulfill part of the Accident Prevention Program requirements under WISHA WAC 296-155-110(4).</w:t>
      </w:r>
    </w:p>
    <w:p>
      <w:pPr>
        <w:pStyle w:val="ListNumber"/>
      </w:pPr>
      <w:r>
        <w:rPr>
          <w:rFonts w:ascii="Arial" w:hAnsi="Arial"/>
        </w:rPr>
        <w:t>Topics for safety meetings should be relevant to the ongoing work and potential hazards, utilizing resources such as the AGC Toolbox Talks Program.</w:t>
      </w:r>
    </w:p>
    <w:p>
      <w:pPr>
        <w:pStyle w:val="Heading2"/>
      </w:pPr>
      <w:r>
        <w:rPr>
          <w:rFonts w:ascii="Arial" w:hAnsi="Arial"/>
          <w:b/>
          <w:sz w:val="24"/>
        </w:rPr>
        <w:t>6.5. Accident Prevention Program (APP) Meetings</w:t>
      </w:r>
    </w:p>
    <w:p>
      <w:pPr>
        <w:pStyle w:val="ListNumber"/>
      </w:pPr>
      <w:r>
        <w:rPr>
          <w:rFonts w:ascii="Arial" w:hAnsi="Arial"/>
        </w:rPr>
        <w:t>Formal APP meetings, involving management and employee representatives, will be held periodically (e.g., monthly or quarterly) to review overall safety performance, discuss inspection findings, accident trends, and update safety policies. This is a key component of WISHA WAC 296-155-110(4).</w:t>
      </w:r>
    </w:p>
    <w:p>
      <w:pPr>
        <w:pStyle w:val="Heading2"/>
      </w:pPr>
      <w:r>
        <w:rPr>
          <w:rFonts w:ascii="Arial" w:hAnsi="Arial"/>
          <w:b/>
          <w:sz w:val="24"/>
        </w:rPr>
        <w:t>6.6. Documentation of Meetings and Inspections</w:t>
      </w:r>
    </w:p>
    <w:p>
      <w:pPr>
        <w:pStyle w:val="ListNumber"/>
      </w:pPr>
      <w:r>
        <w:rPr>
          <w:rFonts w:ascii="Arial" w:hAnsi="Arial"/>
        </w:rPr>
        <w:t>All safety meetings and jobsite inspections must be documented. Documentation will include attendees, topics discussed, hazards identified, corrective actions taken, and completion dates.</w:t>
      </w:r>
    </w:p>
    <w:p>
      <w:pPr>
        <w:pStyle w:val="Heading1"/>
      </w:pPr>
      <w:r>
        <w:rPr>
          <w:rFonts w:ascii="Arial" w:hAnsi="Arial"/>
          <w:b/>
          <w:sz w:val="24"/>
        </w:rPr>
        <w:t>7. Training Requirements</w:t>
      </w:r>
    </w:p>
    <w:p>
      <w:pPr/>
      <w:r>
        <w:rPr>
          <w:rFonts w:ascii="Arial" w:hAnsi="Arial"/>
          <w:b w:val="0"/>
          <w:i w:val="0"/>
          <w:sz w:val="22"/>
          <w:u w:val="none"/>
        </w:rPr>
        <w:t>All employees, supervisors, and competent persons involved in safety meetings and inspections must receive adequate training to perform their roles effectively. This includes training on hazard recognition, OSHA and WISHA standards, and MH Construction's specific safety procedures.</w:t>
      </w:r>
    </w:p>
    <w:p>
      <w:pPr>
        <w:pStyle w:val="ListBullet"/>
      </w:pPr>
      <w:r>
        <w:rPr>
          <w:rFonts w:ascii="Arial" w:hAnsi="Arial"/>
        </w:rPr>
        <w:t>Supervisors and competent persons must be trained in hazard identification and correction, and understanding of applicable OSHA (e.g., 29 CFR 1926) and WISHA (e.g., WAC 296-155) regulations.</w:t>
      </w:r>
    </w:p>
    <w:p>
      <w:pPr>
        <w:pStyle w:val="ListBullet"/>
      </w:pPr>
      <w:r>
        <w:rPr>
          <w:rFonts w:ascii="Arial" w:hAnsi="Arial"/>
        </w:rPr>
        <w:t>New employees will receive initial safety orientation covering the importance of safety meetings and hazard reporting.</w:t>
      </w:r>
    </w:p>
    <w:p>
      <w:pPr>
        <w:pStyle w:val="ListBullet"/>
      </w:pPr>
      <w:r>
        <w:rPr>
          <w:rFonts w:ascii="Arial" w:hAnsi="Arial"/>
        </w:rPr>
        <w:t>Training records, including dates, topics, and attendees, will be maintained by the Safety Officer.</w:t>
      </w:r>
    </w:p>
    <w:p>
      <w:pPr>
        <w:pStyle w:val="Heading1"/>
      </w:pPr>
      <w:r>
        <w:rPr>
          <w:rFonts w:ascii="Arial" w:hAnsi="Arial"/>
          <w:b/>
          <w:sz w:val="24"/>
        </w:rPr>
        <w:t>8. Inspection and Enforcement</w:t>
      </w:r>
    </w:p>
    <w:p>
      <w:pPr/>
      <w:r>
        <w:rPr>
          <w:rFonts w:ascii="Arial" w:hAnsi="Arial"/>
          <w:b w:val="0"/>
          <w:i w:val="0"/>
          <w:sz w:val="22"/>
          <w:u w:val="none"/>
        </w:rPr>
        <w:t>Compliance with this policy will be monitored through ongoing jobsite inspections, safety audits, and review of meeting documentation. The Safety Officer and site supervisors are responsible for ensuring adherence to all safety protocols.</w:t>
      </w:r>
    </w:p>
    <w:p>
      <w:pPr>
        <w:pStyle w:val="ListBullet"/>
      </w:pPr>
      <w:r>
        <w:rPr>
          <w:rFonts w:ascii="Arial" w:hAnsi="Arial"/>
        </w:rPr>
        <w:t>Identified non-compliance or hazards during inspections will result in immediate corrective action. For serious violations, work may be stopped until the hazard is abated.</w:t>
      </w:r>
    </w:p>
    <w:p>
      <w:pPr>
        <w:pStyle w:val="ListBullet"/>
      </w:pPr>
      <w:r>
        <w:rPr>
          <w:rFonts w:ascii="Arial" w:hAnsi="Arial"/>
        </w:rPr>
        <w:t>Supervisors are empowered to enforce safety rules and implement disciplinary actions as outlined in the company's violation consequences policy.</w:t>
      </w:r>
    </w:p>
    <w:p>
      <w:pPr>
        <w:pStyle w:val="Heading1"/>
      </w:pPr>
      <w:r>
        <w:rPr>
          <w:rFonts w:ascii="Arial" w:hAnsi="Arial"/>
          <w:b/>
          <w:sz w:val="24"/>
        </w:rPr>
        <w:t>9. Recordkeeping</w:t>
      </w:r>
    </w:p>
    <w:p>
      <w:pPr/>
      <w:r>
        <w:rPr>
          <w:rFonts w:ascii="Arial" w:hAnsi="Arial"/>
          <w:b w:val="0"/>
          <w:i w:val="0"/>
          <w:sz w:val="22"/>
          <w:u w:val="none"/>
        </w:rPr>
        <w:t>Accurate and complete records of all safety meetings and jobsite inspections are crucial for demonstrating compliance and continuous improvement.</w:t>
      </w:r>
    </w:p>
    <w:p>
      <w:pPr>
        <w:pStyle w:val="ListBullet"/>
      </w:pPr>
      <w:r>
        <w:rPr>
          <w:rFonts w:ascii="Arial" w:hAnsi="Arial"/>
        </w:rPr>
        <w:t>All inspection checklists, meeting minutes, attendance sheets, and documentation of corrective actions will be maintained.</w:t>
      </w:r>
    </w:p>
    <w:p>
      <w:pPr>
        <w:pStyle w:val="ListBullet"/>
      </w:pPr>
      <w:r>
        <w:rPr>
          <w:rFonts w:ascii="Arial" w:hAnsi="Arial"/>
        </w:rPr>
        <w:t>Records will be retained for a minimum of five (5) years, or longer if required by specific regulatory standards or project contracts.</w:t>
      </w:r>
    </w:p>
    <w:p>
      <w:pPr>
        <w:pStyle w:val="ListBullet"/>
      </w:pPr>
      <w:r>
        <w:rPr>
          <w:rFonts w:ascii="Arial" w:hAnsi="Arial"/>
        </w:rPr>
        <w:t>The Safety Officer is responsible for the organization, maintenance, and accessibility of all safety records.</w:t>
      </w:r>
    </w:p>
    <w:p>
      <w:pPr>
        <w:pStyle w:val="Heading1"/>
      </w:pPr>
      <w:r>
        <w:rPr>
          <w:rFonts w:ascii="Arial" w:hAnsi="Arial"/>
          <w:b/>
          <w:sz w:val="24"/>
        </w:rPr>
        <w:t>10. Violation Consequences</w:t>
      </w:r>
    </w:p>
    <w:p>
      <w:pPr/>
      <w:r>
        <w:rPr>
          <w:rFonts w:ascii="Arial" w:hAnsi="Arial"/>
          <w:b w:val="0"/>
          <w:i w:val="0"/>
          <w:sz w:val="22"/>
          <w:u w:val="none"/>
        </w:rPr>
        <w:t>Failure to comply with the requirements of this Safety and Health Meetings/Inspections policy may result in disciplinary action, up to and including termination of employment or contract, consistent with MH Construction's progressive disciplinary policy.</w:t>
      </w:r>
    </w:p>
    <w:p>
      <w:pPr>
        <w:pStyle w:val="ListBullet"/>
      </w:pPr>
      <w:r>
        <w:rPr>
          <w:rFonts w:ascii="Arial" w:hAnsi="Arial"/>
        </w:rPr>
        <w:t>Minor infractions will typically result in a verbal warning and retraining.</w:t>
      </w:r>
    </w:p>
    <w:p>
      <w:pPr>
        <w:pStyle w:val="ListBullet"/>
      </w:pPr>
      <w:r>
        <w:rPr>
          <w:rFonts w:ascii="Arial" w:hAnsi="Arial"/>
        </w:rPr>
        <w:t>Repeated violations or serious safety breaches may lead to written warnings, suspension, or termination.</w:t>
      </w:r>
    </w:p>
    <w:p>
      <w:pPr>
        <w:pStyle w:val="ListBullet"/>
      </w:pPr>
      <w:r>
        <w:rPr>
          <w:rFonts w:ascii="Arial" w:hAnsi="Arial"/>
        </w:rPr>
        <w:t>Subcontractors found in non-compliance may face penalties, removal from the jobsite, or termination of their contract.</w:t>
      </w:r>
    </w:p>
    <w:p>
      <w:pPr>
        <w:pStyle w:val="Heading1"/>
      </w:pPr>
      <w:r>
        <w:rPr>
          <w:rFonts w:ascii="Arial" w:hAnsi="Arial"/>
          <w:b/>
          <w:sz w:val="24"/>
        </w:rPr>
        <w:t>11. References</w:t>
      </w:r>
    </w:p>
    <w:p>
      <w:pPr>
        <w:pStyle w:val="ListBullet"/>
      </w:pPr>
      <w:r>
        <w:rPr>
          <w:rFonts w:ascii="Arial" w:hAnsi="Arial"/>
        </w:rPr>
        <w:t>OSHA: 29 CFR 1926.20(b)(2) Frequent and regular inspections of jobsites</w:t>
      </w:r>
    </w:p>
    <w:p>
      <w:pPr>
        <w:pStyle w:val="ListBullet"/>
      </w:pPr>
      <w:r>
        <w:rPr>
          <w:rFonts w:ascii="Arial" w:hAnsi="Arial"/>
        </w:rPr>
        <w:t>WISHA: WAC 296-155-110(4) Accident Prevention Program Inspections and Meetings</w:t>
      </w:r>
    </w:p>
    <w:p>
      <w:pPr>
        <w:pStyle w:val="ListBullet"/>
      </w:pPr>
      <w:r>
        <w:rPr>
          <w:rFonts w:ascii="Arial" w:hAnsi="Arial"/>
        </w:rPr>
        <w:t>AGC: SHIP Best Practices Handbook Ch. 3; AGC Toolbox Talks Program</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68CBF74-DD07-4FAC-8284-6FDE1DB58A2A}"/>
</file>

<file path=customXml/itemProps3.xml><?xml version="1.0" encoding="utf-8"?>
<ds:datastoreItem xmlns:ds="http://schemas.openxmlformats.org/officeDocument/2006/customXml" ds:itemID="{F9330B9C-ED0A-455A-84E2-6374A5889C9D}"/>
</file>

<file path=customXml/itemProps4.xml><?xml version="1.0" encoding="utf-8"?>
<ds:datastoreItem xmlns:ds="http://schemas.openxmlformats.org/officeDocument/2006/customXml" ds:itemID="{9753AA1B-A5BF-4E00-B65A-FAFDEBB95D5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