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24 | Contractor Hazard Communication Program</w:t>
      </w:r>
    </w:p>
    <w:p>
      <w:pPr>
        <w:jc w:val="center"/>
      </w:pPr>
      <w:r>
        <w:t>Revision 3 | Effective: 04/07/2026 | Safety Officer: Matt Ramsey</w:t>
      </w:r>
    </w:p>
    <w:p>
      <w:r>
        <w:t>──────────────────────────────────────────────────────────────────────</w:t>
      </w:r>
    </w:p>
    <w:p>
      <w:pPr>
        <w:pStyle w:val="Heading1"/>
      </w:pPr>
      <w:r>
        <w:t>1. 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vAlign w:val="center"/>
          </w:tcPr>
          <w:p>
            <w:r>
              <w:rPr>
                <w:b/>
                <w:sz w:val="22"/>
              </w:rPr>
              <w:t>Authority</w:t>
            </w:r>
          </w:p>
        </w:tc>
        <w:tc>
          <w:tcPr>
            <w:tcW w:type="dxa" w:w="3000"/>
            <w:vAlign w:val="center"/>
          </w:tcPr>
          <w:p>
            <w:r>
              <w:rPr>
                <w:b/>
                <w:sz w:val="22"/>
              </w:rPr>
              <w:t>Citation</w:t>
            </w:r>
          </w:p>
        </w:tc>
        <w:tc>
          <w:tcPr>
            <w:tcW w:type="dxa" w:w="3000"/>
            <w:vAlign w:val="center"/>
          </w:tcPr>
          <w:p>
            <w:r>
              <w:rPr>
                <w:b/>
                <w:sz w:val="22"/>
              </w:rPr>
              <w:t>Title/Description</w:t>
            </w:r>
          </w:p>
        </w:tc>
      </w:tr>
      <w:tr>
        <w:tc>
          <w:tcPr>
            <w:tcW w:type="dxa" w:w="3000"/>
            <w:vAlign w:val="center"/>
          </w:tcPr>
          <w:p>
            <w:r>
              <w:rPr>
                <w:sz w:val="22"/>
              </w:rPr>
              <w:t>OSHA</w:t>
            </w:r>
          </w:p>
        </w:tc>
        <w:tc>
          <w:tcPr>
            <w:tcW w:type="dxa" w:w="3000"/>
            <w:vAlign w:val="center"/>
          </w:tcPr>
          <w:p>
            <w:r>
              <w:rPr>
                <w:sz w:val="22"/>
              </w:rPr>
              <w:t>29 CFR 1926.59</w:t>
            </w:r>
          </w:p>
        </w:tc>
        <w:tc>
          <w:tcPr>
            <w:tcW w:type="dxa" w:w="3000"/>
            <w:vAlign w:val="center"/>
          </w:tcPr>
          <w:p>
            <w:r>
              <w:rPr>
                <w:sz w:val="22"/>
              </w:rPr>
              <w:t>Hazard Communication</w:t>
            </w:r>
          </w:p>
        </w:tc>
      </w:tr>
      <w:tr>
        <w:tc>
          <w:tcPr>
            <w:tcW w:type="dxa" w:w="3000"/>
            <w:vAlign w:val="center"/>
          </w:tcPr>
          <w:p>
            <w:r>
              <w:rPr>
                <w:sz w:val="22"/>
              </w:rPr>
              <w:t>OSHA</w:t>
            </w:r>
          </w:p>
        </w:tc>
        <w:tc>
          <w:tcPr>
            <w:tcW w:type="dxa" w:w="3000"/>
            <w:vAlign w:val="center"/>
          </w:tcPr>
          <w:p>
            <w:r>
              <w:rPr>
                <w:sz w:val="22"/>
              </w:rPr>
              <w:t>29 CFR 1910.1200</w:t>
            </w:r>
          </w:p>
        </w:tc>
        <w:tc>
          <w:tcPr>
            <w:tcW w:type="dxa" w:w="3000"/>
            <w:vAlign w:val="center"/>
          </w:tcPr>
          <w:p>
            <w:r>
              <w:rPr>
                <w:sz w:val="22"/>
              </w:rPr>
              <w:t>Hazard Communication Standard GHS</w:t>
            </w:r>
          </w:p>
        </w:tc>
      </w:tr>
      <w:tr>
        <w:tc>
          <w:tcPr>
            <w:tcW w:type="dxa" w:w="3000"/>
            <w:vAlign w:val="center"/>
          </w:tcPr>
          <w:p>
            <w:r>
              <w:rPr>
                <w:sz w:val="22"/>
              </w:rPr>
              <w:t>WISHA</w:t>
            </w:r>
          </w:p>
        </w:tc>
        <w:tc>
          <w:tcPr>
            <w:tcW w:type="dxa" w:w="3000"/>
            <w:vAlign w:val="center"/>
          </w:tcPr>
          <w:p>
            <w:r>
              <w:rPr>
                <w:sz w:val="22"/>
              </w:rPr>
              <w:t>WAC 296-155-180</w:t>
            </w:r>
          </w:p>
        </w:tc>
        <w:tc>
          <w:tcPr>
            <w:tcW w:type="dxa" w:w="3000"/>
            <w:vAlign w:val="center"/>
          </w:tcPr>
          <w:p>
            <w:r>
              <w:rPr>
                <w:sz w:val="22"/>
              </w:rPr>
              <w:t>Hazard Communication</w:t>
            </w:r>
          </w:p>
        </w:tc>
      </w:tr>
      <w:tr>
        <w:tc>
          <w:tcPr>
            <w:tcW w:type="dxa" w:w="3000"/>
            <w:vAlign w:val="center"/>
          </w:tcPr>
          <w:p>
            <w:r>
              <w:rPr>
                <w:sz w:val="22"/>
              </w:rPr>
              <w:t>WISHA</w:t>
            </w:r>
          </w:p>
        </w:tc>
        <w:tc>
          <w:tcPr>
            <w:tcW w:type="dxa" w:w="3000"/>
            <w:vAlign w:val="center"/>
          </w:tcPr>
          <w:p>
            <w:r>
              <w:rPr>
                <w:sz w:val="22"/>
              </w:rPr>
              <w:t>WAC 296-901</w:t>
            </w:r>
          </w:p>
        </w:tc>
        <w:tc>
          <w:tcPr>
            <w:tcW w:type="dxa" w:w="3000"/>
            <w:vAlign w:val="center"/>
          </w:tcPr>
          <w:p>
            <w:r>
              <w:rPr>
                <w:sz w:val="22"/>
              </w:rPr>
              <w:t>Hazard Communication GHS</w:t>
            </w:r>
          </w:p>
        </w:tc>
      </w:tr>
      <w:tr>
        <w:tc>
          <w:tcPr>
            <w:tcW w:type="dxa" w:w="3000"/>
            <w:vAlign w:val="center"/>
          </w:tcPr>
          <w:p>
            <w:r>
              <w:rPr>
                <w:sz w:val="22"/>
              </w:rPr>
              <w:t>AGC</w:t>
            </w:r>
          </w:p>
        </w:tc>
        <w:tc>
          <w:tcPr>
            <w:tcW w:type="dxa" w:w="3000"/>
            <w:vAlign w:val="center"/>
          </w:tcPr>
          <w:p>
            <w:r>
              <w:rPr>
                <w:sz w:val="22"/>
              </w:rPr>
              <w:t>Ch. 18</w:t>
            </w:r>
          </w:p>
        </w:tc>
        <w:tc>
          <w:tcPr>
            <w:tcW w:type="dxa" w:w="3000"/>
            <w:vAlign w:val="center"/>
          </w:tcPr>
          <w:p>
            <w:r>
              <w:rPr>
                <w:sz w:val="22"/>
              </w:rPr>
              <w:t>HazCom/GHS</w:t>
            </w:r>
          </w:p>
        </w:tc>
      </w:tr>
    </w:tbl>
    <w:p>
      <w:pPr>
        <w:pStyle w:val="Heading1"/>
      </w:pPr>
      <w:r>
        <w:t>2. PURPOSE</w:t>
      </w:r>
    </w:p>
    <w:p>
      <w:r>
        <w:t>This program establishes guidelines for effective hazard communication to ensure that all employees are informed about chemical hazards in the workplace. It aims to prevent injuries, illnesses, and fatalities resulting from exposure to hazardous substances by providing necessary information and training.</w:t>
      </w:r>
    </w:p>
    <w:p>
      <w:pPr>
        <w:pStyle w:val="Heading1"/>
      </w:pPr>
      <w:r>
        <w:t>3. SCOPE</w:t>
      </w:r>
    </w:p>
    <w:p>
      <w:r>
        <w:t>This program applies to all MH Construction, Inc. employees, subcontractors, and visitors who may be exposed to hazardous chemicals on any MH Construction job site or facility.</w:t>
      </w:r>
    </w:p>
    <w:p>
      <w:pPr>
        <w:pStyle w:val="Heading1"/>
      </w:pPr>
      <w:r>
        <w:t>4. DEFINITIONS</w:t>
      </w:r>
    </w:p>
    <w:tbl>
      <w:tblPr>
        <w:tblW w:type="auto" w:w="0"/>
        <w:tblLayout w:type="autofit"/>
        <w:tblLook w:firstColumn="1" w:firstRow="1" w:lastColumn="0" w:lastRow="0" w:noHBand="0" w:noVBand="1" w:val="04A0"/>
      </w:tblPr>
      <w:tblGrid>
        <w:gridCol w:w="4500"/>
        <w:gridCol w:w="4500"/>
      </w:tblGrid>
      <w:tr>
        <w:tc>
          <w:tcPr>
            <w:tcW w:type="dxa" w:w="4500"/>
            <w:vAlign w:val="center"/>
          </w:tcPr>
          <w:p>
            <w:r>
              <w:rPr>
                <w:b/>
                <w:sz w:val="22"/>
              </w:rPr>
              <w:t>Term</w:t>
            </w:r>
          </w:p>
        </w:tc>
        <w:tc>
          <w:tcPr>
            <w:tcW w:type="dxa" w:w="4500"/>
            <w:vAlign w:val="center"/>
          </w:tcPr>
          <w:p>
            <w:r>
              <w:rPr>
                <w:b/>
                <w:sz w:val="22"/>
              </w:rPr>
              <w:t>Definition</w:t>
            </w:r>
          </w:p>
        </w:tc>
      </w:tr>
      <w:tr>
        <w:tc>
          <w:tcPr>
            <w:tcW w:type="dxa" w:w="4500"/>
            <w:vAlign w:val="center"/>
          </w:tcPr>
          <w:p>
            <w:r>
              <w:rPr>
                <w:sz w:val="22"/>
              </w:rPr>
              <w:t>Hazardous Chemical</w:t>
            </w:r>
          </w:p>
        </w:tc>
        <w:tc>
          <w:tcPr>
            <w:tcW w:type="dxa" w:w="4500"/>
            <w:vAlign w:val="center"/>
          </w:tcPr>
          <w:p>
            <w:r>
              <w:rPr>
                <w:sz w:val="22"/>
              </w:rPr>
              <w:t>Any chemical which is classified as a physical hazard or a health hazard, a simple asphyxiant, combustible dust, pyrophoric gas, or hazard not otherwise classified.</w:t>
            </w:r>
          </w:p>
        </w:tc>
      </w:tr>
      <w:tr>
        <w:tc>
          <w:tcPr>
            <w:tcW w:type="dxa" w:w="4500"/>
            <w:vAlign w:val="center"/>
          </w:tcPr>
          <w:p>
            <w:r>
              <w:rPr>
                <w:sz w:val="22"/>
              </w:rPr>
              <w:t>Safety Data Sheet (SDS)</w:t>
            </w:r>
          </w:p>
        </w:tc>
        <w:tc>
          <w:tcPr>
            <w:tcW w:type="dxa" w:w="4500"/>
            <w:vAlign w:val="center"/>
          </w:tcPr>
          <w:p>
            <w:r>
              <w:rPr>
                <w:sz w:val="22"/>
              </w:rPr>
              <w:t>Written or printed material concerning a hazardous chemical that is prepared in accordance with 29 CFR 1910.1200(g) and WAC 296-901.</w:t>
            </w:r>
          </w:p>
        </w:tc>
      </w:tr>
      <w:tr>
        <w:tc>
          <w:tcPr>
            <w:tcW w:type="dxa" w:w="4500"/>
            <w:vAlign w:val="center"/>
          </w:tcPr>
          <w:p>
            <w:r>
              <w:rPr>
                <w:sz w:val="22"/>
              </w:rPr>
              <w:t>Label</w:t>
            </w:r>
          </w:p>
        </w:tc>
        <w:tc>
          <w:tcPr>
            <w:tcW w:type="dxa" w:w="4500"/>
            <w:vAlign w:val="center"/>
          </w:tcPr>
          <w:p>
            <w:r>
              <w:rPr>
                <w:sz w:val="22"/>
              </w:rPr>
              <w:t>An appropriate group of written, printed or graphic information elements concerning a hazardous chemical that is affixed to, printed on, or attached to the container of a hazardous chemical.</w:t>
            </w:r>
          </w:p>
        </w:tc>
      </w:tr>
      <w:tr>
        <w:tc>
          <w:tcPr>
            <w:tcW w:type="dxa" w:w="4500"/>
            <w:vAlign w:val="center"/>
          </w:tcPr>
          <w:p>
            <w:r>
              <w:rPr>
                <w:sz w:val="22"/>
              </w:rPr>
              <w:t>GHS</w:t>
            </w:r>
          </w:p>
        </w:tc>
        <w:tc>
          <w:tcPr>
            <w:tcW w:type="dxa" w:w="4500"/>
            <w:vAlign w:val="center"/>
          </w:tcPr>
          <w:p>
            <w:r>
              <w:rPr>
                <w:sz w:val="22"/>
              </w:rPr>
              <w:t>Globally Harmonized System of Classification and Labeling of Chemicals, an international system for standardizing chemical hazard information.</w:t>
            </w:r>
          </w:p>
        </w:tc>
      </w:tr>
      <w:tr>
        <w:tc>
          <w:tcPr>
            <w:tcW w:type="dxa" w:w="4500"/>
            <w:vAlign w:val="center"/>
          </w:tcPr>
          <w:p>
            <w:r>
              <w:rPr>
                <w:sz w:val="22"/>
              </w:rPr>
              <w:t>Exposure</w:t>
            </w:r>
          </w:p>
        </w:tc>
        <w:tc>
          <w:tcPr>
            <w:tcW w:type="dxa" w:w="4500"/>
            <w:vAlign w:val="center"/>
          </w:tcPr>
          <w:p>
            <w:r>
              <w:rPr>
                <w:sz w:val="22"/>
              </w:rPr>
              <w:t>That an employee is subjected to a hazardous chemical in the course of employment through any route of entry (inhalation, ingestion, skin contact or absorption), and includes potential (e.g., accidental or possible) exposure.</w:t>
            </w:r>
          </w:p>
        </w:tc>
      </w:tr>
    </w:tbl>
    <w:p>
      <w:pPr>
        <w:pStyle w:val="Heading1"/>
      </w:pPr>
      <w:r>
        <w:t>5. RESPONSIBILITIES</w:t>
      </w:r>
    </w:p>
    <w:p>
      <w:pPr>
        <w:pStyle w:val="Heading2"/>
      </w:pPr>
      <w:r>
        <w:t>5.1 Company/Management Responsibilities</w:t>
      </w:r>
    </w:p>
    <w:p>
      <w:pPr>
        <w:pStyle w:val="ListBullet"/>
      </w:pPr>
      <w:r>
        <w:t>Establish and maintain a comprehensive Hazard Communication Program.</w:t>
      </w:r>
    </w:p>
    <w:p>
      <w:pPr>
        <w:pStyle w:val="ListBullet"/>
      </w:pPr>
      <w:r>
        <w:t>Ensure adequate resources are available for program implementation, including training and SDS management.</w:t>
      </w:r>
    </w:p>
    <w:p>
      <w:pPr>
        <w:pStyle w:val="ListBullet"/>
      </w:pPr>
      <w:r>
        <w:t>Review and update the program as necessary to reflect changes in regulations or workplace chemicals.</w:t>
      </w:r>
    </w:p>
    <w:p>
      <w:pPr>
        <w:pStyle w:val="Heading2"/>
      </w:pPr>
      <w:r>
        <w:t>5.2 Supervisor/Foreman Responsibilities</w:t>
      </w:r>
    </w:p>
    <w:p>
      <w:pPr>
        <w:pStyle w:val="ListBullet"/>
      </w:pPr>
      <w:r>
        <w:t>Implement the Hazard Communication Program in their respective work areas.</w:t>
      </w:r>
    </w:p>
    <w:p>
      <w:pPr>
        <w:pStyle w:val="ListBullet"/>
      </w:pPr>
      <w:r>
        <w:t>Ensure all employees under their supervision receive appropriate training on hazardous chemicals.</w:t>
      </w:r>
    </w:p>
    <w:p>
      <w:pPr>
        <w:pStyle w:val="ListBullet"/>
      </w:pPr>
      <w:r>
        <w:t>Verify that all hazardous chemical containers are properly labeled and Safety Data Sheets (SDS) are accessible.</w:t>
      </w:r>
    </w:p>
    <w:p>
      <w:pPr>
        <w:pStyle w:val="ListBullet"/>
      </w:pPr>
      <w:r>
        <w:t>Conduct regular inspections to ensure compliance with HazCom procedures.</w:t>
      </w:r>
    </w:p>
    <w:p>
      <w:pPr>
        <w:pStyle w:val="Heading2"/>
      </w:pPr>
      <w:r>
        <w:t>5.3 Employee Responsibilities</w:t>
      </w:r>
    </w:p>
    <w:p>
      <w:pPr>
        <w:pStyle w:val="ListBullet"/>
      </w:pPr>
      <w:r>
        <w:t>Attend and actively participate in all required hazard communication training.</w:t>
      </w:r>
    </w:p>
    <w:p>
      <w:pPr>
        <w:pStyle w:val="ListBullet"/>
      </w:pPr>
      <w:r>
        <w:t>Read and understand labels and SDSs for chemicals they work with.</w:t>
      </w:r>
    </w:p>
    <w:p>
      <w:pPr>
        <w:pStyle w:val="ListBullet"/>
      </w:pPr>
      <w:r>
        <w:t>Use appropriate personal protective equipment (PPE) as required.</w:t>
      </w:r>
    </w:p>
    <w:p>
      <w:pPr>
        <w:pStyle w:val="ListBullet"/>
      </w:pPr>
      <w:r>
        <w:t>Report any unlabeled containers or missing SDSs to their supervisor immediately.</w:t>
      </w:r>
    </w:p>
    <w:p>
      <w:pPr>
        <w:pStyle w:val="Heading2"/>
      </w:pPr>
      <w:r>
        <w:t>5.4 Subcontractor Responsibilities</w:t>
      </w:r>
    </w:p>
    <w:p>
      <w:pPr>
        <w:pStyle w:val="ListBullet"/>
      </w:pPr>
      <w:r>
        <w:t>Provide MH Construction with a copy of their Hazard Communication Program and SDSs for all chemicals they bring onto the job site.</w:t>
      </w:r>
    </w:p>
    <w:p>
      <w:pPr>
        <w:pStyle w:val="ListBullet"/>
      </w:pPr>
      <w:r>
        <w:t>Ensure their employees are trained on the hazards of chemicals they use and are aware of MH Construction's HazCom program.</w:t>
      </w:r>
    </w:p>
    <w:p>
      <w:pPr>
        <w:pStyle w:val="ListBullet"/>
      </w:pPr>
      <w:r>
        <w:t>Comply with all aspects of MH Construction's Hazard Communication Program while on site.</w:t>
      </w:r>
    </w:p>
    <w:p>
      <w:pPr>
        <w:pStyle w:val="Heading1"/>
      </w:pPr>
      <w:r>
        <w:t>6. PROCEDURES / REQUIREMENTS</w:t>
      </w:r>
    </w:p>
    <w:p>
      <w:pPr>
        <w:pStyle w:val="Heading2"/>
      </w:pPr>
      <w:r>
        <w:t>6.1 Chemical Inventory</w:t>
      </w:r>
    </w:p>
    <w:p>
      <w:pPr>
        <w:pStyle w:val="ListNumber"/>
      </w:pPr>
      <w:r>
        <w:t>6.1.1 MH Construction will maintain a comprehensive inventory of all hazardous chemicals present on job sites and in facilities. This inventory will be updated annually or whenever new hazardous chemicals are introduced. (Per 29 CFR 1910.1200(e)(1) and WAC 296-901-14006)</w:t>
      </w:r>
    </w:p>
    <w:p>
      <w:pPr>
        <w:pStyle w:val="Heading2"/>
      </w:pPr>
      <w:r>
        <w:t>6.2 Safety Data Sheets (SDSs)</w:t>
      </w:r>
    </w:p>
    <w:p>
      <w:pPr>
        <w:pStyle w:val="ListNumber"/>
      </w:pPr>
      <w:r>
        <w:t>6.2.1 SDSs will be maintained for every hazardous chemical on site and readily accessible to all employees during their work shifts. Electronic access is permissible, provided there are no barriers to access. (Per 29 CFR 1910.1200(g)(1) and WAC 296-901-14014)</w:t>
      </w:r>
    </w:p>
    <w:p>
      <w:pPr>
        <w:pStyle w:val="ListNumber"/>
      </w:pPr>
      <w:r>
        <w:t>6.2.2 SDSs will be reviewed by the Safety Officer or designated personnel upon receipt to ensure completeness and accuracy.</w:t>
      </w:r>
    </w:p>
    <w:p>
      <w:pPr>
        <w:pStyle w:val="Heading2"/>
      </w:pPr>
      <w:r>
        <w:t>6.3 Labeling</w:t>
      </w:r>
    </w:p>
    <w:p>
      <w:pPr>
        <w:pStyle w:val="ListNumber"/>
      </w:pPr>
      <w:r>
        <w:t>6.3.1 All containers of hazardous chemicals must be labeled, tagged, or marked with the identity of the hazardous chemical, appropriate hazard warnings, and the name and address of the chemical manufacturer, importer, or other responsible party. (Per 29 CFR 1910.1200(f)(1) and WAC 296-901-14012)</w:t>
      </w:r>
    </w:p>
    <w:p>
      <w:pPr>
        <w:pStyle w:val="ListNumber"/>
      </w:pPr>
      <w:r>
        <w:t>6.3.2 Workplace labels must be legible, in English, and prominently displayed. Employees are prohibited from removing or defacing labels.</w:t>
      </w:r>
    </w:p>
    <w:p>
      <w:pPr>
        <w:pStyle w:val="Heading2"/>
      </w:pPr>
      <w:r>
        <w:t>6.4 Non-Routine Tasks</w:t>
      </w:r>
    </w:p>
    <w:p>
      <w:pPr>
        <w:pStyle w:val="ListNumber"/>
      </w:pPr>
      <w:r>
        <w:t>6.4.1 Before employees perform non-routine tasks involving hazardous chemicals, they will be informed of the specific hazards, protective measures, and emergency procedures. (Per 29 CFR 1910.1200(f)(4) and WAC 296-901-14012)</w:t>
      </w:r>
    </w:p>
    <w:p>
      <w:pPr>
        <w:pStyle w:val="Heading2"/>
      </w:pPr>
      <w:r>
        <w:t>6.5 Multi-Employer Workplaces</w:t>
      </w:r>
    </w:p>
    <w:p>
      <w:pPr>
        <w:pStyle w:val="ListNumber"/>
      </w:pPr>
      <w:r>
        <w:t>6.5.1 MH Construction will exchange information on hazardous chemicals with other employers on multi-employer worksites. This includes providing SDSs, explaining precautionary measures, and outlining the labeling system used. (Per 29 CFR 1926.59(d) and WAC 296-155-180(4))</w:t>
      </w:r>
    </w:p>
    <w:p>
      <w:pPr>
        <w:pStyle w:val="Heading2"/>
      </w:pPr>
      <w:r>
        <w:t>6.6 Contractor Responsibilities</w:t>
      </w:r>
    </w:p>
    <w:p>
      <w:pPr>
        <w:pStyle w:val="ListNumber"/>
      </w:pPr>
      <w:r>
        <w:t>6.6.1 Contractors working on MH Construction sites must comply with all aspects of this Hazard Communication Program. They are responsible for providing their employees with appropriate training and PPE, and for ensuring proper labeling and SDS accessibility for chemicals they bring on site.</w:t>
      </w:r>
    </w:p>
    <w:p>
      <w:pPr>
        <w:pStyle w:val="Heading1"/>
      </w:pPr>
      <w:r>
        <w:t>7. TRAINING REQUIREMENTS</w:t>
      </w:r>
    </w:p>
    <w:p>
      <w:r>
        <w:t>All employees who work with or are potentially exposed to hazardous chemicals will receive initial training and refresher training as needed. (Per 29 CFR 1910.1200(h) and WAC 296-901-14016)</w:t>
      </w:r>
    </w:p>
    <w:p>
      <w:pPr>
        <w:pStyle w:val="ListBullet"/>
      </w:pPr>
      <w:r>
        <w:t>Training will cover:</w:t>
      </w:r>
    </w:p>
    <w:p>
      <w:pPr>
        <w:pStyle w:val="ListBullet"/>
      </w:pPr>
      <w:r>
        <w:t>The requirements of the Hazard Communication Standard.</w:t>
      </w:r>
    </w:p>
    <w:p>
      <w:pPr>
        <w:pStyle w:val="ListBullet"/>
      </w:pPr>
      <w:r>
        <w:t>Any operations in their work area where hazardous chemicals are present.</w:t>
      </w:r>
    </w:p>
    <w:p>
      <w:pPr>
        <w:pStyle w:val="ListBullet"/>
      </w:pPr>
      <w:r>
        <w:t>The location and availability of the written Hazard Communication Program, including the list of hazardous chemicals and SDSs.</w:t>
      </w:r>
    </w:p>
    <w:p>
      <w:pPr>
        <w:pStyle w:val="ListBullet"/>
      </w:pPr>
      <w:r>
        <w:t>How to detect the presence or release of a hazardous chemical in the work area.</w:t>
      </w:r>
    </w:p>
    <w:p>
      <w:pPr>
        <w:pStyle w:val="ListBullet"/>
      </w:pPr>
      <w:r>
        <w:t>The physical and health hazards of the chemicals in the work area.</w:t>
      </w:r>
    </w:p>
    <w:p>
      <w:pPr>
        <w:pStyle w:val="ListBullet"/>
      </w:pPr>
      <w:r>
        <w:t>The measures employees can take to protect themselves from these hazards, including specific procedures, work practices, and personal protective equipment.</w:t>
      </w:r>
    </w:p>
    <w:p>
      <w:pPr>
        <w:pStyle w:val="ListBullet"/>
      </w:pPr>
      <w:r>
        <w:t>The details of the hazard communication program developed by MH Construction, including an explanation of the labeling system and the SDS format.</w:t>
      </w:r>
    </w:p>
    <w:p>
      <w:pPr>
        <w:pStyle w:val="ListBullet"/>
      </w:pPr>
      <w:r>
        <w:t>Training records will be maintained by the Safety Officer.</w:t>
      </w:r>
    </w:p>
    <w:p>
      <w:pPr>
        <w:pStyle w:val="Heading1"/>
      </w:pPr>
      <w:r>
        <w:t>8. INSPECTION AND ENFORCEMENT</w:t>
      </w:r>
    </w:p>
    <w:p>
      <w:r>
        <w:t>The Safety Officer will conduct periodic inspections to ensure compliance with this program, including proper labeling, SDS accessibility, and employee adherence to safe work practices. Any deficiencies found will be documented, and corrective actions will be implemented promptly. Non-compliance may result in disciplinary action as outlined in Section 10.</w:t>
      </w:r>
    </w:p>
    <w:p>
      <w:pPr>
        <w:pStyle w:val="Heading1"/>
      </w:pPr>
      <w:r>
        <w:t>9. RECORDKEEPING</w:t>
      </w:r>
    </w:p>
    <w:p>
      <w:pPr>
        <w:pStyle w:val="ListBullet"/>
      </w:pPr>
      <w:r>
        <w:t>The following records will be maintained by the Safety Officer:</w:t>
      </w:r>
    </w:p>
    <w:p>
      <w:pPr>
        <w:pStyle w:val="ListBullet"/>
      </w:pPr>
      <w:r>
        <w:t>Chemical inventory list (current and historical).</w:t>
      </w:r>
    </w:p>
    <w:p>
      <w:pPr>
        <w:pStyle w:val="ListBullet"/>
      </w:pPr>
      <w:r>
        <w:t>Safety Data Sheets (SDSs) for all hazardous chemicals (current and historical).</w:t>
      </w:r>
    </w:p>
    <w:p>
      <w:pPr>
        <w:pStyle w:val="ListBullet"/>
      </w:pPr>
      <w:r>
        <w:t>Hazard communication training records, including dates, attendees, and topics covered.</w:t>
      </w:r>
    </w:p>
    <w:p>
      <w:pPr>
        <w:pStyle w:val="ListBullet"/>
      </w:pPr>
      <w:r>
        <w:t>Inspection reports and corrective actions.</w:t>
      </w:r>
    </w:p>
    <w:p>
      <w:pPr>
        <w:pStyle w:val="ListBullet"/>
      </w:pPr>
      <w:r>
        <w:t>Records will be retained for a minimum of 30 years for training and medical records, and indefinitely for chemical inventories and SDSs.</w:t>
      </w:r>
    </w:p>
    <w:p>
      <w:pPr>
        <w:pStyle w:val="Heading1"/>
      </w:pPr>
      <w:r>
        <w:t>10. VIOLATION CONSEQUENCES</w:t>
      </w:r>
    </w:p>
    <w:p>
      <w:r>
        <w:t>Violations of this Hazard Communication Program will be subject to MH Construction's progressive disciplinary policy, which may include verbal warnings, written warnings, suspension, and termination of employment. Subcontractor non-compliance may result in removal from the job site and termination of contract.</w:t>
      </w:r>
    </w:p>
    <w:p>
      <w:pPr>
        <w:pStyle w:val="Heading1"/>
      </w:pPr>
      <w:r>
        <w:t>11. REFERENCES</w:t>
      </w:r>
    </w:p>
    <w:p>
      <w:r>
        <w:t>OSHA: 29 CFR 1926.59 Hazard Communication</w:t>
      </w:r>
    </w:p>
    <w:p>
      <w:r>
        <w:t>OSHA: 29 CFR 1910.1200 Hazard Communication Standard GHS</w:t>
      </w:r>
    </w:p>
    <w:p>
      <w:r>
        <w:t>WISHA: WAC 296-155-180 Hazard Communication</w:t>
      </w:r>
    </w:p>
    <w:p>
      <w:r>
        <w:t>WISHA: WAC 296-901 Hazard Communication GHS</w:t>
      </w:r>
    </w:p>
    <w:p>
      <w:r>
        <w:t>AGC: Safety and Health Manual Ch. 18 HazCom/GHS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B224E0B-A078-4540-B5D9-1B31986D999A}"/>
</file>

<file path=customXml/itemProps3.xml><?xml version="1.0" encoding="utf-8"?>
<ds:datastoreItem xmlns:ds="http://schemas.openxmlformats.org/officeDocument/2006/customXml" ds:itemID="{26CDA21E-0BA0-4E85-81CD-0DD942B0669D}"/>
</file>

<file path=customXml/itemProps4.xml><?xml version="1.0" encoding="utf-8"?>
<ds:datastoreItem xmlns:ds="http://schemas.openxmlformats.org/officeDocument/2006/customXml" ds:itemID="{B15CF463-4D37-40FF-9CC9-6873771FB85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