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MH CONSTRUCTION, INC.</w:t>
      </w:r>
    </w:p>
    <w:p>
      <w:pPr>
        <w:jc w:val="center"/>
      </w:pPr>
      <w:r>
        <w:rPr>
          <w:rFonts w:ascii="Arial" w:hAnsi="Arial"/>
          <w:sz w:val="22"/>
        </w:rPr>
        <w:t>Industrial Safety &amp; Health Program (MISH)</w:t>
      </w:r>
    </w:p>
    <w:p>
      <w:pPr>
        <w:pStyle w:val="Heading1"/>
        <w:jc w:val="center"/>
      </w:pPr>
      <w:r>
        <w:rPr>
          <w:rFonts w:ascii="Arial" w:hAnsi="Arial"/>
          <w:sz w:val="28"/>
        </w:rPr>
        <w:t>MISH 25 | Heat Related Illness Prevention</w:t>
      </w:r>
    </w:p>
    <w:p>
      <w:pPr>
        <w:jc w:val="center"/>
      </w:pPr>
      <w:r>
        <w:rPr>
          <w:rFonts w:ascii="Arial" w:hAnsi="Arial"/>
          <w:sz w:val="22"/>
        </w:rPr>
        <w:t>Revision 3 | Effective: 04/07/2026 | Safety Officer: Matt Ramsey</w:t>
      </w:r>
    </w:p>
    <w:p>
      <w:r>
        <w:br/>
      </w:r>
      <w:r>
        <w:rPr>
          <w:rFonts w:ascii="Arial" w:hAnsi="Arial"/>
          <w:sz w:val="22"/>
        </w:rPr>
        <w:t>――――――――――――――――――――――――――――――――――――――――――――――――――――――――――――――――――――――――――――――――</w:t>
      </w:r>
      <w:r>
        <w:br/>
        <w:br/>
      </w:r>
    </w:p>
    <w:p>
      <w:pPr>
        <w:pStyle w:val="Heading2"/>
      </w:pPr>
      <w:r>
        <w:rPr>
          <w:rFonts w:ascii="Arial" w:hAnsi="Arial"/>
          <w:sz w:val="24"/>
        </w:rPr>
        <w:t>Regulatory Authority</w:t>
      </w:r>
    </w:p>
    <w:tbl>
      <w:tblPr>
        <w:tblW w:type="auto" w:w="0"/>
        <w:tblLayout w:type="autofit"/>
        <w:tblLook w:firstColumn="1" w:firstRow="1" w:lastColumn="0" w:lastRow="0" w:noHBand="0" w:noVBand="1" w:val="04A0"/>
      </w:tblPr>
      <w:tblGrid>
        <w:gridCol w:w="2160"/>
        <w:gridCol w:w="3600"/>
        <w:gridCol w:w="5760"/>
      </w:tblGrid>
      <w:tr>
        <w:tc>
          <w:tcPr>
            <w:tcW w:type="dxa" w:w="3000"/>
            <w:vAlign w:val="center"/>
          </w:tcPr>
          <w:p>
            <w:r>
              <w:rPr>
                <w:rFonts w:ascii="Arial" w:hAnsi="Arial"/>
                <w:b/>
                <w:sz w:val="22"/>
              </w:rPr>
              <w:t>Authority</w:t>
            </w:r>
          </w:p>
        </w:tc>
        <w:tc>
          <w:tcPr>
            <w:tcW w:type="dxa" w:w="3000"/>
            <w:vAlign w:val="center"/>
          </w:tcPr>
          <w:p>
            <w:r>
              <w:rPr>
                <w:rFonts w:ascii="Arial" w:hAnsi="Arial"/>
                <w:b/>
                <w:sz w:val="22"/>
              </w:rPr>
              <w:t>Citation</w:t>
            </w:r>
          </w:p>
        </w:tc>
        <w:tc>
          <w:tcPr>
            <w:tcW w:type="dxa" w:w="3000"/>
            <w:vAlign w:val="center"/>
          </w:tcPr>
          <w:p>
            <w:r>
              <w:rPr>
                <w:rFonts w:ascii="Arial" w:hAnsi="Arial"/>
                <w:b/>
                <w:sz w:val="22"/>
              </w:rPr>
              <w:t>Title/Description</w:t>
            </w:r>
          </w:p>
        </w:tc>
      </w:tr>
      <w:tr>
        <w:tc>
          <w:tcPr>
            <w:tcW w:type="dxa" w:w="2160"/>
          </w:tcPr>
          <w:p>
            <w:r>
              <w:rPr>
                <w:rFonts w:ascii="Arial" w:hAnsi="Arial"/>
                <w:sz w:val="22"/>
              </w:rPr>
              <w:t>OSHA</w:t>
            </w:r>
          </w:p>
        </w:tc>
        <w:tc>
          <w:tcPr>
            <w:tcW w:type="dxa" w:w="3600"/>
          </w:tcPr>
          <w:p>
            <w:r>
              <w:rPr>
                <w:rFonts w:ascii="Arial" w:hAnsi="Arial"/>
                <w:sz w:val="22"/>
              </w:rPr>
              <w:t>29 CFR 1926.20</w:t>
            </w:r>
          </w:p>
        </w:tc>
        <w:tc>
          <w:tcPr>
            <w:tcW w:type="dxa" w:w="5760"/>
          </w:tcPr>
          <w:p>
            <w:r>
              <w:rPr>
                <w:rFonts w:ascii="Arial" w:hAnsi="Arial"/>
                <w:sz w:val="22"/>
              </w:rPr>
            </w:r>
          </w:p>
        </w:tc>
      </w:tr>
      <w:tr>
        <w:tc>
          <w:tcPr>
            <w:tcW w:type="dxa" w:w="2160"/>
          </w:tcPr>
          <w:p>
            <w:r>
              <w:rPr>
                <w:rFonts w:ascii="Arial" w:hAnsi="Arial"/>
                <w:sz w:val="22"/>
              </w:rPr>
              <w:t>OSHA</w:t>
            </w:r>
          </w:p>
        </w:tc>
        <w:tc>
          <w:tcPr>
            <w:tcW w:type="dxa" w:w="3600"/>
          </w:tcPr>
          <w:p>
            <w:r>
              <w:rPr>
                <w:rFonts w:ascii="Arial" w:hAnsi="Arial"/>
                <w:sz w:val="22"/>
              </w:rPr>
              <w:t>OSH Act General Duty Clause Section 5(a)(1)</w:t>
            </w:r>
          </w:p>
        </w:tc>
        <w:tc>
          <w:tcPr>
            <w:tcW w:type="dxa" w:w="5760"/>
          </w:tcPr>
          <w:p>
            <w:r>
              <w:rPr>
                <w:rFonts w:ascii="Arial" w:hAnsi="Arial"/>
                <w:sz w:val="22"/>
              </w:rPr>
            </w:r>
          </w:p>
        </w:tc>
      </w:tr>
      <w:tr>
        <w:tc>
          <w:tcPr>
            <w:tcW w:type="dxa" w:w="2160"/>
          </w:tcPr>
          <w:p>
            <w:r>
              <w:rPr>
                <w:rFonts w:ascii="Arial" w:hAnsi="Arial"/>
                <w:sz w:val="22"/>
              </w:rPr>
              <w:t>WISHA</w:t>
            </w:r>
          </w:p>
        </w:tc>
        <w:tc>
          <w:tcPr>
            <w:tcW w:type="dxa" w:w="3600"/>
          </w:tcPr>
          <w:p>
            <w:r>
              <w:rPr>
                <w:rFonts w:ascii="Arial" w:hAnsi="Arial"/>
                <w:sz w:val="22"/>
              </w:rPr>
              <w:t>WAC 296-155-110 Accident Prevention Program</w:t>
            </w:r>
          </w:p>
        </w:tc>
        <w:tc>
          <w:tcPr>
            <w:tcW w:type="dxa" w:w="5760"/>
          </w:tcPr>
          <w:p>
            <w:r>
              <w:rPr>
                <w:rFonts w:ascii="Arial" w:hAnsi="Arial"/>
                <w:sz w:val="22"/>
              </w:rPr>
            </w:r>
          </w:p>
        </w:tc>
      </w:tr>
      <w:tr>
        <w:tc>
          <w:tcPr>
            <w:tcW w:type="dxa" w:w="2160"/>
          </w:tcPr>
          <w:p>
            <w:r>
              <w:rPr>
                <w:rFonts w:ascii="Arial" w:hAnsi="Arial"/>
                <w:sz w:val="22"/>
              </w:rPr>
              <w:t>WISHA</w:t>
            </w:r>
          </w:p>
        </w:tc>
        <w:tc>
          <w:tcPr>
            <w:tcW w:type="dxa" w:w="3600"/>
          </w:tcPr>
          <w:p>
            <w:r>
              <w:rPr>
                <w:rFonts w:ascii="Arial" w:hAnsi="Arial"/>
                <w:sz w:val="22"/>
              </w:rPr>
              <w:t>WAC 296-62-095 Heat Exposure</w:t>
            </w:r>
          </w:p>
        </w:tc>
        <w:tc>
          <w:tcPr>
            <w:tcW w:type="dxa" w:w="5760"/>
          </w:tcPr>
          <w:p>
            <w:r>
              <w:rPr>
                <w:rFonts w:ascii="Arial" w:hAnsi="Arial"/>
                <w:sz w:val="22"/>
              </w:rPr>
            </w:r>
          </w:p>
        </w:tc>
      </w:tr>
      <w:tr>
        <w:tc>
          <w:tcPr>
            <w:tcW w:type="dxa" w:w="2160"/>
          </w:tcPr>
          <w:p>
            <w:r>
              <w:rPr>
                <w:rFonts w:ascii="Arial" w:hAnsi="Arial"/>
                <w:sz w:val="22"/>
              </w:rPr>
              <w:t>AGC</w:t>
            </w:r>
          </w:p>
        </w:tc>
        <w:tc>
          <w:tcPr>
            <w:tcW w:type="dxa" w:w="3600"/>
          </w:tcPr>
          <w:p>
            <w:r>
              <w:rPr>
                <w:rFonts w:ascii="Arial" w:hAnsi="Arial"/>
                <w:sz w:val="22"/>
              </w:rPr>
              <w:t>19</w:t>
            </w:r>
          </w:p>
        </w:tc>
        <w:tc>
          <w:tcPr>
            <w:tcW w:type="dxa" w:w="5760"/>
          </w:tcPr>
          <w:p>
            <w:r>
              <w:rPr>
                <w:rFonts w:ascii="Arial" w:hAnsi="Arial"/>
                <w:sz w:val="22"/>
              </w:rPr>
              <w:t>Safety and Health Manual Ch. 19 Heat Illness Prevention</w:t>
            </w:r>
          </w:p>
        </w:tc>
      </w:tr>
    </w:tbl>
    <w:p>
      <w:r>
        <w:br/>
      </w:r>
    </w:p>
    <w:p>
      <w:pPr>
        <w:pStyle w:val="Heading2"/>
      </w:pPr>
      <w:r>
        <w:rPr>
          <w:rFonts w:ascii="Arial" w:hAnsi="Arial"/>
          <w:sz w:val="24"/>
        </w:rPr>
        <w:t>Purpose</w:t>
      </w:r>
    </w:p>
    <w:p>
      <w:r>
        <w:rPr>
          <w:rFonts w:ascii="Arial" w:hAnsi="Arial"/>
          <w:sz w:val="22"/>
        </w:rPr>
        <w:t>This policy establishes guidelines and procedures to prevent heat-related illnesses among all personnel working on MH Construction job sites. It aims to protect employees, subcontractors, and visitors from the dangers of excessive heat exposure, ensuring a safe and healthy work environment as mandated by regulatory standards.</w:t>
      </w:r>
    </w:p>
    <w:p>
      <w:pPr>
        <w:pStyle w:val="Heading2"/>
      </w:pPr>
      <w:r>
        <w:rPr>
          <w:rFonts w:ascii="Arial" w:hAnsi="Arial"/>
          <w:sz w:val="24"/>
        </w:rPr>
        <w:t>Scope</w:t>
      </w:r>
    </w:p>
    <w:p>
      <w:r>
        <w:rPr>
          <w:rFonts w:ascii="Arial" w:hAnsi="Arial"/>
          <w:sz w:val="22"/>
        </w:rPr>
        <w:t>This program applies to all MH Construction, Inc. employees, subcontractors, and visitors present on any MH Construction job site where there is a potential for heat exposure.</w:t>
      </w:r>
    </w:p>
    <w:p>
      <w:pPr>
        <w:pStyle w:val="Heading2"/>
      </w:pPr>
      <w:r>
        <w:rPr>
          <w:rFonts w:ascii="Arial" w:hAnsi="Arial"/>
          <w:sz w:val="24"/>
        </w:rPr>
        <w:t>Definitions</w:t>
      </w:r>
    </w:p>
    <w:tbl>
      <w:tblPr>
        <w:tblW w:type="auto" w:w="0"/>
        <w:tblLayout w:type="autofit"/>
        <w:tblLook w:firstColumn="1" w:firstRow="1" w:lastColumn="0" w:lastRow="0" w:noHBand="0" w:noVBand="1" w:val="04A0"/>
      </w:tblPr>
      <w:tblGrid>
        <w:gridCol w:w="2880"/>
        <w:gridCol w:w="8640"/>
      </w:tblGrid>
      <w:tr>
        <w:tc>
          <w:tcPr>
            <w:tcW w:type="dxa" w:w="4500"/>
            <w:vAlign w:val="center"/>
          </w:tcPr>
          <w:p>
            <w:r>
              <w:rPr>
                <w:rFonts w:ascii="Arial" w:hAnsi="Arial"/>
                <w:b/>
                <w:sz w:val="22"/>
              </w:rPr>
              <w:t>Term</w:t>
            </w:r>
          </w:p>
        </w:tc>
        <w:tc>
          <w:tcPr>
            <w:tcW w:type="dxa" w:w="4500"/>
            <w:vAlign w:val="center"/>
          </w:tcPr>
          <w:p>
            <w:r>
              <w:rPr>
                <w:rFonts w:ascii="Arial" w:hAnsi="Arial"/>
                <w:b/>
                <w:sz w:val="22"/>
              </w:rPr>
              <w:t>Definition</w:t>
            </w:r>
          </w:p>
        </w:tc>
      </w:tr>
      <w:tr>
        <w:tc>
          <w:tcPr>
            <w:tcW w:type="dxa" w:w="2880"/>
          </w:tcPr>
          <w:p>
            <w:r>
              <w:rPr>
                <w:rFonts w:ascii="Arial" w:hAnsi="Arial"/>
                <w:sz w:val="22"/>
              </w:rPr>
              <w:t>Heat Stress</w:t>
            </w:r>
          </w:p>
        </w:tc>
        <w:tc>
          <w:tcPr>
            <w:tcW w:type="dxa" w:w="8640"/>
          </w:tcPr>
          <w:p>
            <w:r>
              <w:rPr>
                <w:rFonts w:ascii="Arial" w:hAnsi="Arial"/>
                <w:sz w:val="22"/>
              </w:rPr>
              <w:t>The total load of heat on the body from both internal (metabolic) and external (environmental) sources.</w:t>
            </w:r>
          </w:p>
        </w:tc>
      </w:tr>
      <w:tr>
        <w:tc>
          <w:tcPr>
            <w:tcW w:type="dxa" w:w="2880"/>
          </w:tcPr>
          <w:p>
            <w:r>
              <w:rPr>
                <w:rFonts w:ascii="Arial" w:hAnsi="Arial"/>
                <w:sz w:val="22"/>
              </w:rPr>
              <w:t>Heat Stroke</w:t>
            </w:r>
          </w:p>
        </w:tc>
        <w:tc>
          <w:tcPr>
            <w:tcW w:type="dxa" w:w="8640"/>
          </w:tcPr>
          <w:p>
            <w:r>
              <w:rPr>
                <w:rFonts w:ascii="Arial" w:hAnsi="Arial"/>
                <w:sz w:val="22"/>
              </w:rPr>
              <w:t>The most serious heat-related illness, occurring when the body loses its ability to cool itself, leading to a rapid rise in core body temperature.</w:t>
            </w:r>
          </w:p>
        </w:tc>
      </w:tr>
      <w:tr>
        <w:tc>
          <w:tcPr>
            <w:tcW w:type="dxa" w:w="2880"/>
          </w:tcPr>
          <w:p>
            <w:r>
              <w:rPr>
                <w:rFonts w:ascii="Arial" w:hAnsi="Arial"/>
                <w:sz w:val="22"/>
              </w:rPr>
              <w:t>Heat Exhaustion</w:t>
            </w:r>
          </w:p>
        </w:tc>
        <w:tc>
          <w:tcPr>
            <w:tcW w:type="dxa" w:w="8640"/>
          </w:tcPr>
          <w:p>
            <w:r>
              <w:rPr>
                <w:rFonts w:ascii="Arial" w:hAnsi="Arial"/>
                <w:sz w:val="22"/>
              </w:rPr>
              <w:t>A milder form of heat-related illness resulting from the body's loss of water and salt, often characterized by heavy sweating, weakness, and nausea.</w:t>
            </w:r>
          </w:p>
        </w:tc>
      </w:tr>
      <w:tr>
        <w:tc>
          <w:tcPr>
            <w:tcW w:type="dxa" w:w="2880"/>
          </w:tcPr>
          <w:p>
            <w:r>
              <w:rPr>
                <w:rFonts w:ascii="Arial" w:hAnsi="Arial"/>
                <w:sz w:val="22"/>
              </w:rPr>
              <w:t>Acclimatization</w:t>
            </w:r>
          </w:p>
        </w:tc>
        <w:tc>
          <w:tcPr>
            <w:tcW w:type="dxa" w:w="8640"/>
          </w:tcPr>
          <w:p>
            <w:r>
              <w:rPr>
                <w:rFonts w:ascii="Arial" w:hAnsi="Arial"/>
                <w:sz w:val="22"/>
              </w:rPr>
              <w:t>The physiological adaptation of the body to a new climate or environment, particularly one with higher temperatures.</w:t>
            </w:r>
          </w:p>
        </w:tc>
      </w:tr>
      <w:tr>
        <w:tc>
          <w:tcPr>
            <w:tcW w:type="dxa" w:w="2880"/>
          </w:tcPr>
          <w:p>
            <w:r>
              <w:rPr>
                <w:rFonts w:ascii="Arial" w:hAnsi="Arial"/>
                <w:sz w:val="22"/>
              </w:rPr>
              <w:t>Work/Rest Cycle</w:t>
            </w:r>
          </w:p>
        </w:tc>
        <w:tc>
          <w:tcPr>
            <w:tcW w:type="dxa" w:w="8640"/>
          </w:tcPr>
          <w:p>
            <w:r>
              <w:rPr>
                <w:rFonts w:ascii="Arial" w:hAnsi="Arial"/>
                <w:sz w:val="22"/>
              </w:rPr>
              <w:t>Scheduled periods of work followed by periods of rest in a cooler environment to prevent heat stress.</w:t>
            </w:r>
          </w:p>
        </w:tc>
      </w:tr>
    </w:tbl>
    <w:p>
      <w:r>
        <w:br/>
      </w:r>
    </w:p>
    <w:p>
      <w:pPr>
        <w:pStyle w:val="Heading2"/>
      </w:pPr>
      <w:r>
        <w:rPr>
          <w:rFonts w:ascii="Arial" w:hAnsi="Arial"/>
          <w:sz w:val="24"/>
        </w:rPr>
        <w:t>Responsibilities</w:t>
      </w:r>
    </w:p>
    <w:p>
      <w:pPr/>
      <w:r>
        <w:rPr>
          <w:rFonts w:ascii="Arial" w:hAnsi="Arial"/>
          <w:b/>
          <w:sz w:val="22"/>
        </w:rPr>
        <w:t>Company/Management:</w:t>
      </w:r>
    </w:p>
    <w:p>
      <w:pPr>
        <w:pStyle w:val="ListBullet"/>
      </w:pPr>
      <w:r>
        <w:rPr>
          <w:rFonts w:ascii="Arial" w:hAnsi="Arial"/>
          <w:sz w:val="22"/>
        </w:rPr>
        <w:t>Provide resources for heat illness prevention, including water, shade, and training.</w:t>
      </w:r>
    </w:p>
    <w:p>
      <w:pPr>
        <w:pStyle w:val="ListBullet"/>
      </w:pPr>
      <w:r>
        <w:rPr>
          <w:rFonts w:ascii="Arial" w:hAnsi="Arial"/>
          <w:sz w:val="22"/>
        </w:rPr>
        <w:t>Establish and maintain a comprehensive Heat Related Illness Prevention Program.</w:t>
      </w:r>
    </w:p>
    <w:p>
      <w:pPr>
        <w:pStyle w:val="ListBullet"/>
      </w:pPr>
      <w:r>
        <w:rPr>
          <w:rFonts w:ascii="Arial" w:hAnsi="Arial"/>
          <w:sz w:val="22"/>
        </w:rPr>
        <w:t>Ensure compliance with all applicable OSHA, WISHA, and AGC heat illness prevention standards.</w:t>
      </w:r>
    </w:p>
    <w:p>
      <w:pPr/>
      <w:r>
        <w:rPr>
          <w:rFonts w:ascii="Arial" w:hAnsi="Arial"/>
          <w:b/>
          <w:sz w:val="22"/>
        </w:rPr>
        <w:t>Supervisor/Foreman:</w:t>
      </w:r>
    </w:p>
    <w:p>
      <w:pPr>
        <w:pStyle w:val="ListBullet"/>
      </w:pPr>
      <w:r>
        <w:rPr>
          <w:rFonts w:ascii="Arial" w:hAnsi="Arial"/>
          <w:sz w:val="22"/>
        </w:rPr>
        <w:t>Implement and enforce the Heat Related Illness Prevention Program on job sites.</w:t>
      </w:r>
    </w:p>
    <w:p>
      <w:pPr>
        <w:pStyle w:val="ListBullet"/>
      </w:pPr>
      <w:r>
        <w:rPr>
          <w:rFonts w:ascii="Arial" w:hAnsi="Arial"/>
          <w:sz w:val="22"/>
        </w:rPr>
        <w:t>Monitor weather conditions and adjust work schedules, including work/rest cycles, as needed.</w:t>
      </w:r>
    </w:p>
    <w:p>
      <w:pPr>
        <w:pStyle w:val="ListBullet"/>
      </w:pPr>
      <w:r>
        <w:rPr>
          <w:rFonts w:ascii="Arial" w:hAnsi="Arial"/>
          <w:sz w:val="22"/>
        </w:rPr>
        <w:t>Ensure adequate water and shade are available and utilized by all personnel.</w:t>
      </w:r>
    </w:p>
    <w:p>
      <w:pPr>
        <w:pStyle w:val="ListBullet"/>
      </w:pPr>
      <w:r>
        <w:rPr>
          <w:rFonts w:ascii="Arial" w:hAnsi="Arial"/>
          <w:sz w:val="22"/>
        </w:rPr>
        <w:t>Train employees on heat illness symptoms, prevention, and emergency procedures.</w:t>
      </w:r>
    </w:p>
    <w:p>
      <w:pPr/>
      <w:r>
        <w:rPr>
          <w:rFonts w:ascii="Arial" w:hAnsi="Arial"/>
          <w:b/>
          <w:sz w:val="22"/>
        </w:rPr>
        <w:t>Employee:</w:t>
      </w:r>
    </w:p>
    <w:p>
      <w:pPr>
        <w:pStyle w:val="ListBullet"/>
      </w:pPr>
      <w:r>
        <w:rPr>
          <w:rFonts w:ascii="Arial" w:hAnsi="Arial"/>
          <w:sz w:val="22"/>
        </w:rPr>
        <w:t>Adhere to all heat illness prevention policies and procedures.</w:t>
      </w:r>
    </w:p>
    <w:p>
      <w:pPr>
        <w:pStyle w:val="ListBullet"/>
      </w:pPr>
      <w:r>
        <w:rPr>
          <w:rFonts w:ascii="Arial" w:hAnsi="Arial"/>
          <w:sz w:val="22"/>
        </w:rPr>
        <w:t>Drink water frequently, take rest breaks in shade, and report any symptoms of heat illness immediately.</w:t>
      </w:r>
    </w:p>
    <w:p>
      <w:pPr>
        <w:pStyle w:val="ListBullet"/>
      </w:pPr>
      <w:r>
        <w:rPr>
          <w:rFonts w:ascii="Arial" w:hAnsi="Arial"/>
          <w:sz w:val="22"/>
        </w:rPr>
        <w:t>Wear appropriate clothing for hot weather conditions.</w:t>
      </w:r>
    </w:p>
    <w:p>
      <w:pPr/>
      <w:r>
        <w:rPr>
          <w:rFonts w:ascii="Arial" w:hAnsi="Arial"/>
          <w:b/>
          <w:sz w:val="22"/>
        </w:rPr>
        <w:t>Subcontractor:</w:t>
      </w:r>
    </w:p>
    <w:p>
      <w:pPr>
        <w:pStyle w:val="ListBullet"/>
      </w:pPr>
      <w:r>
        <w:rPr>
          <w:rFonts w:ascii="Arial" w:hAnsi="Arial"/>
          <w:sz w:val="22"/>
        </w:rPr>
        <w:t>Comply with MH Construction's Heat Related Illness Prevention Program and all applicable regulations.</w:t>
      </w:r>
    </w:p>
    <w:p>
      <w:pPr>
        <w:pStyle w:val="ListBullet"/>
      </w:pPr>
      <w:r>
        <w:rPr>
          <w:rFonts w:ascii="Arial" w:hAnsi="Arial"/>
          <w:sz w:val="22"/>
        </w:rPr>
        <w:t>Ensure their employees are trained and follow safe work practices to prevent heat illness.</w:t>
      </w:r>
    </w:p>
    <w:p>
      <w:pPr>
        <w:pStyle w:val="Heading2"/>
      </w:pPr>
      <w:r>
        <w:rPr>
          <w:rFonts w:ascii="Arial" w:hAnsi="Arial"/>
          <w:sz w:val="24"/>
        </w:rPr>
        <w:t>Procedures / Requirements</w:t>
      </w:r>
    </w:p>
    <w:p>
      <w:pPr>
        <w:pStyle w:val="Heading3"/>
      </w:pPr>
      <w:r>
        <w:rPr>
          <w:rFonts w:ascii="Arial" w:hAnsi="Arial"/>
          <w:sz w:val="24"/>
        </w:rPr>
        <w:t>7.1 Hydration</w:t>
      </w:r>
    </w:p>
    <w:p>
      <w:r>
        <w:rPr>
          <w:rFonts w:ascii="Arial" w:hAnsi="Arial"/>
          <w:sz w:val="22"/>
        </w:rPr>
        <w:t>Adequate hydration is critical. Potable drinking water must be provided free of charge and readily accessible to all employees at all times. Employees are encouraged to drink small amounts of water frequently (e.g., 4-8 ounces every 15-20 minutes) to prevent dehydration. Per WISHA WAC 296-62-095(3)(a), employers must ensure that employees have access to an adequate supply of drinking water.</w:t>
      </w:r>
    </w:p>
    <w:p>
      <w:pPr>
        <w:pStyle w:val="Heading3"/>
      </w:pPr>
      <w:r>
        <w:rPr>
          <w:rFonts w:ascii="Arial" w:hAnsi="Arial"/>
          <w:sz w:val="24"/>
        </w:rPr>
        <w:t>7.2 Shade and Rest Breaks</w:t>
      </w:r>
    </w:p>
    <w:p>
      <w:r>
        <w:rPr>
          <w:rFonts w:ascii="Arial" w:hAnsi="Arial"/>
          <w:sz w:val="22"/>
        </w:rPr>
        <w:t>When the ambient temperature exceeds 80°F (26.7°C), access to shade must be provided. Employees must be permitted and encouraged to take preventative cool-down rest periods in the shade for a minimum of 10 minutes every two hours. During these breaks, employees should not perform work and should rehydrate. Per WISHA WAC 296-62-095(3)(b), employers must provide shade when the outdoor temperature is 80°F or higher.</w:t>
      </w:r>
    </w:p>
    <w:p>
      <w:pPr>
        <w:pStyle w:val="Heading3"/>
      </w:pPr>
      <w:r>
        <w:rPr>
          <w:rFonts w:ascii="Arial" w:hAnsi="Arial"/>
          <w:sz w:val="24"/>
        </w:rPr>
        <w:t>7.3 Acclimatization</w:t>
      </w:r>
    </w:p>
    <w:p>
      <w:r>
        <w:rPr>
          <w:rFonts w:ascii="Arial" w:hAnsi="Arial"/>
          <w:sz w:val="22"/>
        </w:rPr>
        <w:t>New employees or those returning from an absence of more than two weeks must undergo a period of acclimatization. This involves gradually increasing work intensity and duration over 7-14 days, with closer supervision and more frequent breaks during the initial days. This helps the body adapt to working in hot environments and reduces the risk of heat illness. Per OSH Act General Duty Clause Section 5(a)(1), employers must provide a workplace free from recognized hazards likely to cause death or serious physical harm.</w:t>
      </w:r>
    </w:p>
    <w:p>
      <w:pPr>
        <w:pStyle w:val="Heading3"/>
      </w:pPr>
      <w:r>
        <w:rPr>
          <w:rFonts w:ascii="Arial" w:hAnsi="Arial"/>
          <w:sz w:val="24"/>
        </w:rPr>
        <w:t>7.4 Monitoring Weather Conditions</w:t>
      </w:r>
    </w:p>
    <w:p>
      <w:r>
        <w:rPr>
          <w:rFonts w:ascii="Arial" w:hAnsi="Arial"/>
          <w:sz w:val="22"/>
        </w:rPr>
        <w:t>Supervisors must monitor weather forecasts and current conditions, including temperature, humidity, and heat index. Work activities will be adjusted based on these conditions, potentially including rescheduling tasks, increasing rest breaks, or ceasing non-essential work during peak heat hours.</w:t>
      </w:r>
    </w:p>
    <w:p>
      <w:pPr>
        <w:pStyle w:val="Heading3"/>
      </w:pPr>
      <w:r>
        <w:rPr>
          <w:rFonts w:ascii="Arial" w:hAnsi="Arial"/>
          <w:sz w:val="24"/>
        </w:rPr>
        <w:t>7.5 Emergency Response Procedures</w:t>
      </w:r>
    </w:p>
    <w:p>
      <w:r>
        <w:rPr>
          <w:rFonts w:ascii="Arial" w:hAnsi="Arial"/>
          <w:sz w:val="22"/>
        </w:rPr>
        <w:t>All personnel must be aware of the symptoms of heat-related illnesses and the appropriate first aid response. In case of a suspected heat stroke or severe heat exhaustion, emergency medical services (911) must be contacted immediately. The affected individual should be moved to a cooler area, loosened clothing, and cooled with water or ice packs while awaiting medical help. Per 29 CFR 1926.20, employers are responsible for initiating and maintaining accident prevention programs.</w:t>
      </w:r>
    </w:p>
    <w:p>
      <w:pPr>
        <w:pStyle w:val="Heading3"/>
      </w:pPr>
      <w:r>
        <w:rPr>
          <w:rFonts w:ascii="Arial" w:hAnsi="Arial"/>
          <w:sz w:val="24"/>
        </w:rPr>
        <w:t>7.6 Personal Protective Equipment (PPE) and Clothing</w:t>
      </w:r>
    </w:p>
    <w:p>
      <w:r>
        <w:rPr>
          <w:rFonts w:ascii="Arial" w:hAnsi="Arial"/>
          <w:sz w:val="22"/>
        </w:rPr>
        <w:t>Employees are encouraged to wear light-colored, loose-fitting, breathable clothing. Sun hats and sunglasses are also recommended. Supervisors will ensure that any required PPE does not exacerbate heat stress and will consider alternatives or additional controls if necessary.</w:t>
      </w:r>
    </w:p>
    <w:p>
      <w:pPr>
        <w:pStyle w:val="Heading3"/>
      </w:pPr>
      <w:r>
        <w:rPr>
          <w:rFonts w:ascii="Arial" w:hAnsi="Arial"/>
          <w:sz w:val="24"/>
        </w:rPr>
        <w:t>7.7 Communication and Observation</w:t>
      </w:r>
    </w:p>
    <w:p>
      <w:r>
        <w:rPr>
          <w:rFonts w:ascii="Arial" w:hAnsi="Arial"/>
          <w:sz w:val="22"/>
        </w:rPr>
        <w:t>Supervisors and employees are responsible for observing co-workers for signs of heat illness. A buddy system is encouraged, especially during high heat conditions or when working alone. Open communication about how individuals are feeling is essential for early detection and intervention.</w:t>
      </w:r>
    </w:p>
    <w:p>
      <w:pPr>
        <w:pStyle w:val="Heading2"/>
      </w:pPr>
      <w:r>
        <w:rPr>
          <w:rFonts w:ascii="Arial" w:hAnsi="Arial"/>
          <w:sz w:val="24"/>
        </w:rPr>
        <w:t>Training Requirements</w:t>
      </w:r>
    </w:p>
    <w:p>
      <w:r>
        <w:rPr>
          <w:rFonts w:ascii="Arial" w:hAnsi="Arial"/>
          <w:sz w:val="22"/>
        </w:rPr>
        <w:t>All employees and supervisors who may be exposed to heat stress must receive training on heat illness prevention. This training will cover: recognition of heat illness symptoms, first aid procedures, importance of hydration, proper work/rest cycles, and emergency response. Training will be conducted annually and documented. Per WISHA WAC 296-155-110, employers must have an accident prevention program that includes safety training.</w:t>
      </w:r>
    </w:p>
    <w:p>
      <w:pPr>
        <w:pStyle w:val="Heading2"/>
      </w:pPr>
      <w:r>
        <w:rPr>
          <w:rFonts w:ascii="Arial" w:hAnsi="Arial"/>
          <w:sz w:val="24"/>
        </w:rPr>
        <w:t>Inspection and Enforcement</w:t>
      </w:r>
    </w:p>
    <w:p>
      <w:r>
        <w:rPr>
          <w:rFonts w:ascii="Arial" w:hAnsi="Arial"/>
          <w:sz w:val="22"/>
        </w:rPr>
        <w:t>Supervisors will conduct regular inspections of job sites to ensure compliance with this program, including availability of water and shade, and proper implementation of work/rest cycles. Non-compliance will result in immediate corrective action and may lead to disciplinary measures as outlined in the 'Violation Consequences' section.</w:t>
      </w:r>
    </w:p>
    <w:p>
      <w:pPr>
        <w:pStyle w:val="Heading2"/>
      </w:pPr>
      <w:r>
        <w:rPr>
          <w:rFonts w:ascii="Arial" w:hAnsi="Arial"/>
          <w:sz w:val="24"/>
        </w:rPr>
        <w:t>Recordkeeping</w:t>
      </w:r>
    </w:p>
    <w:p>
      <w:r>
        <w:rPr>
          <w:rFonts w:ascii="Arial" w:hAnsi="Arial"/>
          <w:sz w:val="22"/>
        </w:rPr>
        <w:t>Records of heat illness training, incident reports, and corrective actions will be maintained by the Safety Officer for a minimum of five years. These records are essential for demonstrating compliance and for continuous improvement of the program.</w:t>
      </w:r>
    </w:p>
    <w:p>
      <w:pPr>
        <w:pStyle w:val="Heading2"/>
      </w:pPr>
      <w:r>
        <w:rPr>
          <w:rFonts w:ascii="Arial" w:hAnsi="Arial"/>
          <w:sz w:val="24"/>
        </w:rPr>
        <w:t>Violation Consequences</w:t>
      </w:r>
    </w:p>
    <w:p>
      <w:r>
        <w:rPr>
          <w:rFonts w:ascii="Arial" w:hAnsi="Arial"/>
          <w:sz w:val="22"/>
        </w:rPr>
        <w:t>Failure to comply with the Heat Related Illness Prevention Program may result in progressive disciplinary action, up to and including termination of employment or contract. The severity of the disciplinary action will depend on the nature and frequency of the violation, and its potential impact on safety.</w:t>
      </w:r>
    </w:p>
    <w:p>
      <w:pPr>
        <w:pStyle w:val="Heading2"/>
      </w:pPr>
      <w:r>
        <w:rPr>
          <w:rFonts w:ascii="Arial" w:hAnsi="Arial"/>
          <w:sz w:val="24"/>
        </w:rPr>
        <w:t>References</w:t>
      </w:r>
    </w:p>
    <w:p>
      <w:r>
        <w:rPr>
          <w:rFonts w:ascii="Arial" w:hAnsi="Arial"/>
          <w:sz w:val="22"/>
        </w:rPr>
        <w:t>OSHA: 29 CFR 1926.20 - Safety and Health Regulations for Construction</w:t>
      </w:r>
    </w:p>
    <w:p>
      <w:r>
        <w:rPr>
          <w:rFonts w:ascii="Arial" w:hAnsi="Arial"/>
          <w:sz w:val="22"/>
        </w:rPr>
        <w:t>OSHA: OSH Act General Duty Clause Section 5(a)(1)</w:t>
      </w:r>
    </w:p>
    <w:p>
      <w:r>
        <w:rPr>
          <w:rFonts w:ascii="Arial" w:hAnsi="Arial"/>
          <w:sz w:val="22"/>
        </w:rPr>
        <w:t>WISHA: WAC 296-155-110 - Accident Prevention Program</w:t>
      </w:r>
    </w:p>
    <w:p>
      <w:r>
        <w:rPr>
          <w:rFonts w:ascii="Arial" w:hAnsi="Arial"/>
          <w:sz w:val="22"/>
        </w:rPr>
        <w:t>WISHA: WAC 296-62-095 - Heat Exposure</w:t>
      </w:r>
    </w:p>
    <w:p>
      <w:r>
        <w:rPr>
          <w:rFonts w:ascii="Arial" w:hAnsi="Arial"/>
          <w:sz w:val="22"/>
        </w:rPr>
        <w:t>AGC: Safety and Health Manual Ch. 19 Heat Illness Prevention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403D73-72CD-4311-A8F8-D3AD3EFCCC39}"/>
</file>

<file path=customXml/itemProps3.xml><?xml version="1.0" encoding="utf-8"?>
<ds:datastoreItem xmlns:ds="http://schemas.openxmlformats.org/officeDocument/2006/customXml" ds:itemID="{AA369AA2-E0E2-461A-BB86-8859315435EE}"/>
</file>

<file path=customXml/itemProps4.xml><?xml version="1.0" encoding="utf-8"?>
<ds:datastoreItem xmlns:ds="http://schemas.openxmlformats.org/officeDocument/2006/customXml" ds:itemID="{FB636ACE-75EC-4071-9F7B-F3C4D7B7593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