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2"/>
        </w:rPr>
        <w:t>MH CONSTRUCTION, INC.</w:t>
      </w:r>
    </w:p>
    <w:p>
      <w:pPr/>
      <w:r>
        <w:rPr>
          <w:rFonts w:ascii="Arial" w:hAnsi="Arial"/>
        </w:rPr>
        <w:t>Industrial Safety &amp; Health Program (MISH)</w:t>
      </w:r>
    </w:p>
    <w:p>
      <w:r>
        <w:rPr>
          <w:rFonts w:ascii="Arial" w:hAnsi="Arial"/>
          <w:b/>
          <w:sz w:val="24"/>
        </w:rPr>
        <w:t>MISH 37 | Concrete and Masonry Construction</w:t>
      </w:r>
    </w:p>
    <w:p>
      <w:pPr/>
      <w:r>
        <w:rPr>
          <w:rFonts w:ascii="Arial" w:hAnsi="Arial"/>
        </w:rPr>
        <w:t>Revision 3 | Effective: 04/07/2026 | Safety Officer: Matt Ramsey</w:t>
      </w:r>
    </w:p>
    <w:p>
      <w:pPr>
        <w:pBdr>
          <w:bottom w:val="single" w:sz="6" w:space="1" w:color="auto"/>
        </w:pBdr>
      </w:pPr>
    </w:p>
    <w:p>
      <w:pPr>
        <w:pStyle w:val="Heading1"/>
      </w:pPr>
      <w:r>
        <w:rPr>
          <w:rFonts w:ascii="Arial" w:hAnsi="Arial"/>
        </w:rPr>
        <w:t>1. Regulatory Authority</w:t>
      </w:r>
    </w:p>
    <w:p>
      <w:pPr/>
      <w:r>
        <w:rPr>
          <w:rFonts w:ascii="Arial" w:hAnsi="Arial"/>
        </w:rPr>
        <w:t>The following regulatory citations apply to this section:</w:t>
      </w:r>
    </w:p>
    <w:tbl>
      <w:tblPr>
        <w:tblW w:type="auto" w:w="0"/>
        <w:tblLayout w:type="autofit"/>
        <w:tblLook w:firstColumn="1" w:firstRow="1" w:lastColumn="0" w:lastRow="0" w:noHBand="0" w:noVBand="1" w:val="04A0"/>
      </w:tblPr>
      <w:tblGrid>
        <w:gridCol w:w="2160"/>
        <w:gridCol w:w="2880"/>
        <w:gridCol w:w="5760"/>
      </w:tblGrid>
      <w:tr>
        <w:tc>
          <w:tcPr>
            <w:tcW w:type="dxa" w:w="3000"/>
            <w:top w:val="single" w:sz="4" w:space="0" w:color="auto"/>
            <w:left w:val="single" w:sz="4" w:space="0" w:color="auto"/>
            <w:bottom w:val="single" w:sz="4" w:space="0" w:color="auto"/>
            <w:right w:val="single" w:sz="4" w:space="0" w:color="auto"/>
          </w:tcPr>
          <w:p>
            <w:r>
              <w:rPr>
                <w:rFonts w:ascii="Arial" w:hAnsi="Arial"/>
                <w:b/>
              </w:rPr>
              <w:t>Authority</w:t>
            </w:r>
          </w:p>
        </w:tc>
        <w:tc>
          <w:tcPr>
            <w:tcW w:type="dxa" w:w="3000"/>
            <w:top w:val="single" w:sz="4" w:space="0" w:color="auto"/>
            <w:left w:val="single" w:sz="4" w:space="0" w:color="auto"/>
            <w:bottom w:val="single" w:sz="4" w:space="0" w:color="auto"/>
            <w:right w:val="single" w:sz="4" w:space="0" w:color="auto"/>
          </w:tcPr>
          <w:p>
            <w:r>
              <w:rPr>
                <w:rFonts w:ascii="Arial" w:hAnsi="Arial"/>
                <w:b/>
              </w:rPr>
              <w:t>Citation</w:t>
            </w:r>
          </w:p>
        </w:tc>
        <w:tc>
          <w:tcPr>
            <w:tcW w:type="dxa" w:w="3000"/>
            <w:top w:val="single" w:sz="4" w:space="0" w:color="auto"/>
            <w:left w:val="single" w:sz="4" w:space="0" w:color="auto"/>
            <w:bottom w:val="single" w:sz="4" w:space="0" w:color="auto"/>
            <w:right w:val="single" w:sz="4" w:space="0" w:color="auto"/>
          </w:tcPr>
          <w:p>
            <w:r>
              <w:rPr>
                <w:rFonts w:ascii="Arial" w:hAnsi="Arial"/>
                <w:b/>
              </w:rPr>
              <w:t>Title/Description</w:t>
            </w:r>
          </w:p>
        </w:tc>
      </w:tr>
      <w:tr>
        <w:tc>
          <w:tcPr>
            <w:tcW w:type="dxa" w:w="2160"/>
            <w:top w:val="single" w:sz="4" w:space="0" w:color="auto"/>
            <w:left w:val="single" w:sz="4" w:space="0" w:color="auto"/>
            <w:bottom w:val="single" w:sz="4" w:space="0" w:color="auto"/>
            <w:right w:val="single" w:sz="4" w:space="0" w:color="auto"/>
          </w:tcPr>
          <w:p>
            <w:r>
              <w:rPr>
                <w:rFonts w:ascii="Arial" w:hAnsi="Arial"/>
              </w:rPr>
              <w:t>OSHA</w:t>
            </w:r>
          </w:p>
        </w:tc>
        <w:tc>
          <w:tcPr>
            <w:tcW w:type="dxa" w:w="2880"/>
            <w:top w:val="single" w:sz="4" w:space="0" w:color="auto"/>
            <w:left w:val="single" w:sz="4" w:space="0" w:color="auto"/>
            <w:bottom w:val="single" w:sz="4" w:space="0" w:color="auto"/>
            <w:right w:val="single" w:sz="4" w:space="0" w:color="auto"/>
          </w:tcPr>
          <w:p>
            <w:r>
              <w:rPr>
                <w:rFonts w:ascii="Arial" w:hAnsi="Arial"/>
              </w:rPr>
              <w:t>29 CFR</w:t>
            </w:r>
          </w:p>
        </w:tc>
        <w:tc>
          <w:tcPr>
            <w:tcW w:type="dxa" w:w="5760"/>
            <w:top w:val="single" w:sz="4" w:space="0" w:color="auto"/>
            <w:left w:val="single" w:sz="4" w:space="0" w:color="auto"/>
            <w:bottom w:val="single" w:sz="4" w:space="0" w:color="auto"/>
            <w:right w:val="single" w:sz="4" w:space="0" w:color="auto"/>
          </w:tcPr>
          <w:p>
            <w:r>
              <w:rPr>
                <w:rFonts w:ascii="Arial" w:hAnsi="Arial"/>
              </w:rPr>
              <w:t>1926 Subpart Q</w:t>
            </w:r>
          </w:p>
        </w:tc>
      </w:tr>
      <w:tr>
        <w:tc>
          <w:tcPr>
            <w:tcW w:type="dxa" w:w="2160"/>
            <w:top w:val="single" w:sz="4" w:space="0" w:color="auto"/>
            <w:left w:val="single" w:sz="4" w:space="0" w:color="auto"/>
            <w:bottom w:val="single" w:sz="4" w:space="0" w:color="auto"/>
            <w:right w:val="single" w:sz="4" w:space="0" w:color="auto"/>
          </w:tcPr>
          <w:p>
            <w:r>
              <w:rPr>
                <w:rFonts w:ascii="Arial" w:hAnsi="Arial"/>
              </w:rPr>
              <w:t>OSHA</w:t>
            </w:r>
          </w:p>
        </w:tc>
        <w:tc>
          <w:tcPr>
            <w:tcW w:type="dxa" w:w="2880"/>
            <w:top w:val="single" w:sz="4" w:space="0" w:color="auto"/>
            <w:left w:val="single" w:sz="4" w:space="0" w:color="auto"/>
            <w:bottom w:val="single" w:sz="4" w:space="0" w:color="auto"/>
            <w:right w:val="single" w:sz="4" w:space="0" w:color="auto"/>
          </w:tcPr>
          <w:p>
            <w:r>
              <w:rPr>
                <w:rFonts w:ascii="Arial" w:hAnsi="Arial"/>
              </w:rPr>
              <w:t>29 CFR</w:t>
            </w:r>
          </w:p>
        </w:tc>
        <w:tc>
          <w:tcPr>
            <w:tcW w:type="dxa" w:w="5760"/>
            <w:top w:val="single" w:sz="4" w:space="0" w:color="auto"/>
            <w:left w:val="single" w:sz="4" w:space="0" w:color="auto"/>
            <w:bottom w:val="single" w:sz="4" w:space="0" w:color="auto"/>
            <w:right w:val="single" w:sz="4" w:space="0" w:color="auto"/>
          </w:tcPr>
          <w:p>
            <w:r>
              <w:rPr>
                <w:rFonts w:ascii="Arial" w:hAnsi="Arial"/>
              </w:rPr>
              <w:t>1926.700 Scope</w:t>
            </w:r>
          </w:p>
        </w:tc>
      </w:tr>
      <w:tr>
        <w:tc>
          <w:tcPr>
            <w:tcW w:type="dxa" w:w="2160"/>
            <w:top w:val="single" w:sz="4" w:space="0" w:color="auto"/>
            <w:left w:val="single" w:sz="4" w:space="0" w:color="auto"/>
            <w:bottom w:val="single" w:sz="4" w:space="0" w:color="auto"/>
            <w:right w:val="single" w:sz="4" w:space="0" w:color="auto"/>
          </w:tcPr>
          <w:p>
            <w:r>
              <w:rPr>
                <w:rFonts w:ascii="Arial" w:hAnsi="Arial"/>
              </w:rPr>
              <w:t>OSHA</w:t>
            </w:r>
          </w:p>
        </w:tc>
        <w:tc>
          <w:tcPr>
            <w:tcW w:type="dxa" w:w="2880"/>
            <w:top w:val="single" w:sz="4" w:space="0" w:color="auto"/>
            <w:left w:val="single" w:sz="4" w:space="0" w:color="auto"/>
            <w:bottom w:val="single" w:sz="4" w:space="0" w:color="auto"/>
            <w:right w:val="single" w:sz="4" w:space="0" w:color="auto"/>
          </w:tcPr>
          <w:p>
            <w:r>
              <w:rPr>
                <w:rFonts w:ascii="Arial" w:hAnsi="Arial"/>
              </w:rPr>
              <w:t>29 CFR</w:t>
            </w:r>
          </w:p>
        </w:tc>
        <w:tc>
          <w:tcPr>
            <w:tcW w:type="dxa" w:w="5760"/>
            <w:top w:val="single" w:sz="4" w:space="0" w:color="auto"/>
            <w:left w:val="single" w:sz="4" w:space="0" w:color="auto"/>
            <w:bottom w:val="single" w:sz="4" w:space="0" w:color="auto"/>
            <w:right w:val="single" w:sz="4" w:space="0" w:color="auto"/>
          </w:tcPr>
          <w:p>
            <w:r>
              <w:rPr>
                <w:rFonts w:ascii="Arial" w:hAnsi="Arial"/>
              </w:rPr>
              <w:t>1926.701 General Requirements</w:t>
            </w:r>
          </w:p>
        </w:tc>
      </w:tr>
      <w:tr>
        <w:tc>
          <w:tcPr>
            <w:tcW w:type="dxa" w:w="2160"/>
            <w:top w:val="single" w:sz="4" w:space="0" w:color="auto"/>
            <w:left w:val="single" w:sz="4" w:space="0" w:color="auto"/>
            <w:bottom w:val="single" w:sz="4" w:space="0" w:color="auto"/>
            <w:right w:val="single" w:sz="4" w:space="0" w:color="auto"/>
          </w:tcPr>
          <w:p>
            <w:r>
              <w:rPr>
                <w:rFonts w:ascii="Arial" w:hAnsi="Arial"/>
              </w:rPr>
              <w:t>OSHA</w:t>
            </w:r>
          </w:p>
        </w:tc>
        <w:tc>
          <w:tcPr>
            <w:tcW w:type="dxa" w:w="2880"/>
            <w:top w:val="single" w:sz="4" w:space="0" w:color="auto"/>
            <w:left w:val="single" w:sz="4" w:space="0" w:color="auto"/>
            <w:bottom w:val="single" w:sz="4" w:space="0" w:color="auto"/>
            <w:right w:val="single" w:sz="4" w:space="0" w:color="auto"/>
          </w:tcPr>
          <w:p>
            <w:r>
              <w:rPr>
                <w:rFonts w:ascii="Arial" w:hAnsi="Arial"/>
              </w:rPr>
              <w:t>29 CFR</w:t>
            </w:r>
          </w:p>
        </w:tc>
        <w:tc>
          <w:tcPr>
            <w:tcW w:type="dxa" w:w="5760"/>
            <w:top w:val="single" w:sz="4" w:space="0" w:color="auto"/>
            <w:left w:val="single" w:sz="4" w:space="0" w:color="auto"/>
            <w:bottom w:val="single" w:sz="4" w:space="0" w:color="auto"/>
            <w:right w:val="single" w:sz="4" w:space="0" w:color="auto"/>
          </w:tcPr>
          <w:p>
            <w:r>
              <w:rPr>
                <w:rFonts w:ascii="Arial" w:hAnsi="Arial"/>
              </w:rPr>
              <w:t>1926.702 Requirements for Equipment and Tools</w:t>
            </w:r>
          </w:p>
        </w:tc>
      </w:tr>
      <w:tr>
        <w:tc>
          <w:tcPr>
            <w:tcW w:type="dxa" w:w="2160"/>
            <w:top w:val="single" w:sz="4" w:space="0" w:color="auto"/>
            <w:left w:val="single" w:sz="4" w:space="0" w:color="auto"/>
            <w:bottom w:val="single" w:sz="4" w:space="0" w:color="auto"/>
            <w:right w:val="single" w:sz="4" w:space="0" w:color="auto"/>
          </w:tcPr>
          <w:p>
            <w:r>
              <w:rPr>
                <w:rFonts w:ascii="Arial" w:hAnsi="Arial"/>
              </w:rPr>
              <w:t>OSHA</w:t>
            </w:r>
          </w:p>
        </w:tc>
        <w:tc>
          <w:tcPr>
            <w:tcW w:type="dxa" w:w="2880"/>
            <w:top w:val="single" w:sz="4" w:space="0" w:color="auto"/>
            <w:left w:val="single" w:sz="4" w:space="0" w:color="auto"/>
            <w:bottom w:val="single" w:sz="4" w:space="0" w:color="auto"/>
            <w:right w:val="single" w:sz="4" w:space="0" w:color="auto"/>
          </w:tcPr>
          <w:p>
            <w:r>
              <w:rPr>
                <w:rFonts w:ascii="Arial" w:hAnsi="Arial"/>
              </w:rPr>
              <w:t>29 CFR</w:t>
            </w:r>
          </w:p>
        </w:tc>
        <w:tc>
          <w:tcPr>
            <w:tcW w:type="dxa" w:w="5760"/>
            <w:top w:val="single" w:sz="4" w:space="0" w:color="auto"/>
            <w:left w:val="single" w:sz="4" w:space="0" w:color="auto"/>
            <w:bottom w:val="single" w:sz="4" w:space="0" w:color="auto"/>
            <w:right w:val="single" w:sz="4" w:space="0" w:color="auto"/>
          </w:tcPr>
          <w:p>
            <w:r>
              <w:rPr>
                <w:rFonts w:ascii="Arial" w:hAnsi="Arial"/>
              </w:rPr>
              <w:t>1926.703 Cast-in-Place Concrete</w:t>
            </w:r>
          </w:p>
        </w:tc>
      </w:tr>
      <w:tr>
        <w:tc>
          <w:tcPr>
            <w:tcW w:type="dxa" w:w="2160"/>
            <w:top w:val="single" w:sz="4" w:space="0" w:color="auto"/>
            <w:left w:val="single" w:sz="4" w:space="0" w:color="auto"/>
            <w:bottom w:val="single" w:sz="4" w:space="0" w:color="auto"/>
            <w:right w:val="single" w:sz="4" w:space="0" w:color="auto"/>
          </w:tcPr>
          <w:p>
            <w:r>
              <w:rPr>
                <w:rFonts w:ascii="Arial" w:hAnsi="Arial"/>
              </w:rPr>
              <w:t>OSHA</w:t>
            </w:r>
          </w:p>
        </w:tc>
        <w:tc>
          <w:tcPr>
            <w:tcW w:type="dxa" w:w="2880"/>
            <w:top w:val="single" w:sz="4" w:space="0" w:color="auto"/>
            <w:left w:val="single" w:sz="4" w:space="0" w:color="auto"/>
            <w:bottom w:val="single" w:sz="4" w:space="0" w:color="auto"/>
            <w:right w:val="single" w:sz="4" w:space="0" w:color="auto"/>
          </w:tcPr>
          <w:p>
            <w:r>
              <w:rPr>
                <w:rFonts w:ascii="Arial" w:hAnsi="Arial"/>
              </w:rPr>
              <w:t>29 CFR</w:t>
            </w:r>
          </w:p>
        </w:tc>
        <w:tc>
          <w:tcPr>
            <w:tcW w:type="dxa" w:w="5760"/>
            <w:top w:val="single" w:sz="4" w:space="0" w:color="auto"/>
            <w:left w:val="single" w:sz="4" w:space="0" w:color="auto"/>
            <w:bottom w:val="single" w:sz="4" w:space="0" w:color="auto"/>
            <w:right w:val="single" w:sz="4" w:space="0" w:color="auto"/>
          </w:tcPr>
          <w:p>
            <w:r>
              <w:rPr>
                <w:rFonts w:ascii="Arial" w:hAnsi="Arial"/>
              </w:rPr>
              <w:t>1926.706 Requirements for Masonry Construction</w:t>
            </w:r>
          </w:p>
        </w:tc>
      </w:tr>
      <w:tr>
        <w:tc>
          <w:tcPr>
            <w:tcW w:type="dxa" w:w="2160"/>
            <w:top w:val="single" w:sz="4" w:space="0" w:color="auto"/>
            <w:left w:val="single" w:sz="4" w:space="0" w:color="auto"/>
            <w:bottom w:val="single" w:sz="4" w:space="0" w:color="auto"/>
            <w:right w:val="single" w:sz="4" w:space="0" w:color="auto"/>
          </w:tcPr>
          <w:p>
            <w:r>
              <w:rPr>
                <w:rFonts w:ascii="Arial" w:hAnsi="Arial"/>
              </w:rPr>
              <w:t>WISHA</w:t>
            </w:r>
          </w:p>
        </w:tc>
        <w:tc>
          <w:tcPr>
            <w:tcW w:type="dxa" w:w="2880"/>
            <w:top w:val="single" w:sz="4" w:space="0" w:color="auto"/>
            <w:left w:val="single" w:sz="4" w:space="0" w:color="auto"/>
            <w:bottom w:val="single" w:sz="4" w:space="0" w:color="auto"/>
            <w:right w:val="single" w:sz="4" w:space="0" w:color="auto"/>
          </w:tcPr>
          <w:p>
            <w:r>
              <w:rPr>
                <w:rFonts w:ascii="Arial" w:hAnsi="Arial"/>
              </w:rPr>
              <w:t>WAC 296-155-675</w:t>
            </w:r>
          </w:p>
        </w:tc>
        <w:tc>
          <w:tcPr>
            <w:tcW w:type="dxa" w:w="5760"/>
            <w:top w:val="single" w:sz="4" w:space="0" w:color="auto"/>
            <w:left w:val="single" w:sz="4" w:space="0" w:color="auto"/>
            <w:bottom w:val="single" w:sz="4" w:space="0" w:color="auto"/>
            <w:right w:val="single" w:sz="4" w:space="0" w:color="auto"/>
          </w:tcPr>
          <w:p>
            <w:r>
              <w:rPr>
                <w:rFonts w:ascii="Arial" w:hAnsi="Arial"/>
              </w:rPr>
              <w:t>Scope Application and Definitions</w:t>
            </w:r>
          </w:p>
        </w:tc>
      </w:tr>
      <w:tr>
        <w:tc>
          <w:tcPr>
            <w:tcW w:type="dxa" w:w="2160"/>
            <w:top w:val="single" w:sz="4" w:space="0" w:color="auto"/>
            <w:left w:val="single" w:sz="4" w:space="0" w:color="auto"/>
            <w:bottom w:val="single" w:sz="4" w:space="0" w:color="auto"/>
            <w:right w:val="single" w:sz="4" w:space="0" w:color="auto"/>
          </w:tcPr>
          <w:p>
            <w:r>
              <w:rPr>
                <w:rFonts w:ascii="Arial" w:hAnsi="Arial"/>
              </w:rPr>
              <w:t>WISHA</w:t>
            </w:r>
          </w:p>
        </w:tc>
        <w:tc>
          <w:tcPr>
            <w:tcW w:type="dxa" w:w="2880"/>
            <w:top w:val="single" w:sz="4" w:space="0" w:color="auto"/>
            <w:left w:val="single" w:sz="4" w:space="0" w:color="auto"/>
            <w:bottom w:val="single" w:sz="4" w:space="0" w:color="auto"/>
            <w:right w:val="single" w:sz="4" w:space="0" w:color="auto"/>
          </w:tcPr>
          <w:p>
            <w:r>
              <w:rPr>
                <w:rFonts w:ascii="Arial" w:hAnsi="Arial"/>
              </w:rPr>
              <w:t>WAC 296-155-680</w:t>
            </w:r>
          </w:p>
        </w:tc>
        <w:tc>
          <w:tcPr>
            <w:tcW w:type="dxa" w:w="5760"/>
            <w:top w:val="single" w:sz="4" w:space="0" w:color="auto"/>
            <w:left w:val="single" w:sz="4" w:space="0" w:color="auto"/>
            <w:bottom w:val="single" w:sz="4" w:space="0" w:color="auto"/>
            <w:right w:val="single" w:sz="4" w:space="0" w:color="auto"/>
          </w:tcPr>
          <w:p>
            <w:r>
              <w:rPr>
                <w:rFonts w:ascii="Arial" w:hAnsi="Arial"/>
              </w:rPr>
              <w:t>General Provisions</w:t>
            </w:r>
          </w:p>
        </w:tc>
      </w:tr>
      <w:tr>
        <w:tc>
          <w:tcPr>
            <w:tcW w:type="dxa" w:w="2160"/>
            <w:top w:val="single" w:sz="4" w:space="0" w:color="auto"/>
            <w:left w:val="single" w:sz="4" w:space="0" w:color="auto"/>
            <w:bottom w:val="single" w:sz="4" w:space="0" w:color="auto"/>
            <w:right w:val="single" w:sz="4" w:space="0" w:color="auto"/>
          </w:tcPr>
          <w:p>
            <w:r>
              <w:rPr>
                <w:rFonts w:ascii="Arial" w:hAnsi="Arial"/>
              </w:rPr>
              <w:t>WISHA</w:t>
            </w:r>
          </w:p>
        </w:tc>
        <w:tc>
          <w:tcPr>
            <w:tcW w:type="dxa" w:w="2880"/>
            <w:top w:val="single" w:sz="4" w:space="0" w:color="auto"/>
            <w:left w:val="single" w:sz="4" w:space="0" w:color="auto"/>
            <w:bottom w:val="single" w:sz="4" w:space="0" w:color="auto"/>
            <w:right w:val="single" w:sz="4" w:space="0" w:color="auto"/>
          </w:tcPr>
          <w:p>
            <w:r>
              <w:rPr>
                <w:rFonts w:ascii="Arial" w:hAnsi="Arial"/>
              </w:rPr>
              <w:t>WAC 296-155-682</w:t>
            </w:r>
          </w:p>
        </w:tc>
        <w:tc>
          <w:tcPr>
            <w:tcW w:type="dxa" w:w="5760"/>
            <w:top w:val="single" w:sz="4" w:space="0" w:color="auto"/>
            <w:left w:val="single" w:sz="4" w:space="0" w:color="auto"/>
            <w:bottom w:val="single" w:sz="4" w:space="0" w:color="auto"/>
            <w:right w:val="single" w:sz="4" w:space="0" w:color="auto"/>
          </w:tcPr>
          <w:p>
            <w:r>
              <w:rPr>
                <w:rFonts w:ascii="Arial" w:hAnsi="Arial"/>
              </w:rPr>
              <w:t>Requirements for Equipment and Tools</w:t>
            </w:r>
          </w:p>
        </w:tc>
      </w:tr>
      <w:tr>
        <w:tc>
          <w:tcPr>
            <w:tcW w:type="dxa" w:w="2160"/>
            <w:top w:val="single" w:sz="4" w:space="0" w:color="auto"/>
            <w:left w:val="single" w:sz="4" w:space="0" w:color="auto"/>
            <w:bottom w:val="single" w:sz="4" w:space="0" w:color="auto"/>
            <w:right w:val="single" w:sz="4" w:space="0" w:color="auto"/>
          </w:tcPr>
          <w:p>
            <w:r>
              <w:rPr>
                <w:rFonts w:ascii="Arial" w:hAnsi="Arial"/>
              </w:rPr>
              <w:t>WISHA</w:t>
            </w:r>
          </w:p>
        </w:tc>
        <w:tc>
          <w:tcPr>
            <w:tcW w:type="dxa" w:w="2880"/>
            <w:top w:val="single" w:sz="4" w:space="0" w:color="auto"/>
            <w:left w:val="single" w:sz="4" w:space="0" w:color="auto"/>
            <w:bottom w:val="single" w:sz="4" w:space="0" w:color="auto"/>
            <w:right w:val="single" w:sz="4" w:space="0" w:color="auto"/>
          </w:tcPr>
          <w:p>
            <w:r>
              <w:rPr>
                <w:rFonts w:ascii="Arial" w:hAnsi="Arial"/>
              </w:rPr>
              <w:t>WAC 296-155-684</w:t>
            </w:r>
          </w:p>
        </w:tc>
        <w:tc>
          <w:tcPr>
            <w:tcW w:type="dxa" w:w="5760"/>
            <w:top w:val="single" w:sz="4" w:space="0" w:color="auto"/>
            <w:left w:val="single" w:sz="4" w:space="0" w:color="auto"/>
            <w:bottom w:val="single" w:sz="4" w:space="0" w:color="auto"/>
            <w:right w:val="single" w:sz="4" w:space="0" w:color="auto"/>
          </w:tcPr>
          <w:p>
            <w:r>
              <w:rPr>
                <w:rFonts w:ascii="Arial" w:hAnsi="Arial"/>
              </w:rPr>
              <w:t>Requirements for Cast-in-Place Concrete</w:t>
            </w:r>
          </w:p>
        </w:tc>
      </w:tr>
      <w:tr>
        <w:tc>
          <w:tcPr>
            <w:tcW w:type="dxa" w:w="2160"/>
            <w:top w:val="single" w:sz="4" w:space="0" w:color="auto"/>
            <w:left w:val="single" w:sz="4" w:space="0" w:color="auto"/>
            <w:bottom w:val="single" w:sz="4" w:space="0" w:color="auto"/>
            <w:right w:val="single" w:sz="4" w:space="0" w:color="auto"/>
          </w:tcPr>
          <w:p>
            <w:r>
              <w:rPr>
                <w:rFonts w:ascii="Arial" w:hAnsi="Arial"/>
              </w:rPr>
              <w:t>WISHA</w:t>
            </w:r>
          </w:p>
        </w:tc>
        <w:tc>
          <w:tcPr>
            <w:tcW w:type="dxa" w:w="2880"/>
            <w:top w:val="single" w:sz="4" w:space="0" w:color="auto"/>
            <w:left w:val="single" w:sz="4" w:space="0" w:color="auto"/>
            <w:bottom w:val="single" w:sz="4" w:space="0" w:color="auto"/>
            <w:right w:val="single" w:sz="4" w:space="0" w:color="auto"/>
          </w:tcPr>
          <w:p>
            <w:r>
              <w:rPr>
                <w:rFonts w:ascii="Arial" w:hAnsi="Arial"/>
              </w:rPr>
              <w:t>WAC 296-155-697</w:t>
            </w:r>
          </w:p>
        </w:tc>
        <w:tc>
          <w:tcPr>
            <w:tcW w:type="dxa" w:w="5760"/>
            <w:top w:val="single" w:sz="4" w:space="0" w:color="auto"/>
            <w:left w:val="single" w:sz="4" w:space="0" w:color="auto"/>
            <w:bottom w:val="single" w:sz="4" w:space="0" w:color="auto"/>
            <w:right w:val="single" w:sz="4" w:space="0" w:color="auto"/>
          </w:tcPr>
          <w:p>
            <w:r>
              <w:rPr>
                <w:rFonts w:ascii="Arial" w:hAnsi="Arial"/>
              </w:rPr>
              <w:t>Requirements for Masonry Construction</w:t>
            </w:r>
          </w:p>
        </w:tc>
      </w:tr>
      <w:tr>
        <w:tc>
          <w:tcPr>
            <w:tcW w:type="dxa" w:w="2160"/>
            <w:top w:val="single" w:sz="4" w:space="0" w:color="auto"/>
            <w:left w:val="single" w:sz="4" w:space="0" w:color="auto"/>
            <w:bottom w:val="single" w:sz="4" w:space="0" w:color="auto"/>
            <w:right w:val="single" w:sz="4" w:space="0" w:color="auto"/>
          </w:tcPr>
          <w:p>
            <w:r>
              <w:rPr>
                <w:rFonts w:ascii="Arial" w:hAnsi="Arial"/>
              </w:rPr>
              <w:t>AGC</w:t>
            </w:r>
          </w:p>
        </w:tc>
        <w:tc>
          <w:tcPr>
            <w:tcW w:type="dxa" w:w="2880"/>
            <w:top w:val="single" w:sz="4" w:space="0" w:color="auto"/>
            <w:left w:val="single" w:sz="4" w:space="0" w:color="auto"/>
            <w:bottom w:val="single" w:sz="4" w:space="0" w:color="auto"/>
            <w:right w:val="single" w:sz="4" w:space="0" w:color="auto"/>
          </w:tcPr>
          <w:p>
            <w:r>
              <w:rPr>
                <w:rFonts w:ascii="Arial" w:hAnsi="Arial"/>
              </w:rPr>
              <w:t>Safety and Health Manual</w:t>
            </w:r>
          </w:p>
        </w:tc>
        <w:tc>
          <w:tcPr>
            <w:tcW w:type="dxa" w:w="5760"/>
            <w:top w:val="single" w:sz="4" w:space="0" w:color="auto"/>
            <w:left w:val="single" w:sz="4" w:space="0" w:color="auto"/>
            <w:bottom w:val="single" w:sz="4" w:space="0" w:color="auto"/>
            <w:right w:val="single" w:sz="4" w:space="0" w:color="auto"/>
          </w:tcPr>
          <w:p>
            <w:r>
              <w:rPr>
                <w:rFonts w:ascii="Arial" w:hAnsi="Arial"/>
              </w:rPr>
              <w:t>25 Concrete and Masonry</w:t>
            </w:r>
          </w:p>
        </w:tc>
      </w:tr>
    </w:tbl>
    <w:p>
      <w:pPr>
        <w:pStyle w:val="Heading1"/>
      </w:pPr>
      <w:r>
        <w:rPr>
          <w:rFonts w:ascii="Arial" w:hAnsi="Arial"/>
        </w:rPr>
        <w:t>2. Purpose</w:t>
      </w:r>
    </w:p>
    <w:p>
      <w:pPr/>
      <w:r>
        <w:rPr>
          <w:rFonts w:ascii="Arial" w:hAnsi="Arial"/>
        </w:rPr>
        <w:t>This policy establishes safety guidelines and procedures for concrete and masonry construction activities to prevent injuries, illnesses, and fatalities. It aims to protect all personnel from hazards associated with these operations, ensuring a safe working environment and compliance with regulatory standards.</w:t>
      </w:r>
    </w:p>
    <w:p>
      <w:pPr>
        <w:pStyle w:val="Heading1"/>
      </w:pPr>
      <w:r>
        <w:rPr>
          <w:rFonts w:ascii="Arial" w:hAnsi="Arial"/>
        </w:rPr>
        <w:t>3. Scope</w:t>
      </w:r>
    </w:p>
    <w:p>
      <w:pPr/>
      <w:r>
        <w:rPr>
          <w:rFonts w:ascii="Arial" w:hAnsi="Arial"/>
        </w:rPr>
        <w:t>This program applies to all MH Construction, Inc. employees, subcontractors, and visitors involved in or present on job sites where concrete and masonry construction activities are performed.</w:t>
      </w:r>
    </w:p>
    <w:p>
      <w:pPr>
        <w:pStyle w:val="Heading1"/>
      </w:pPr>
      <w:r>
        <w:rPr>
          <w:rFonts w:ascii="Arial" w:hAnsi="Arial"/>
        </w:rPr>
        <w:t>4. Definitions</w:t>
      </w:r>
    </w:p>
    <w:tbl>
      <w:tblPr>
        <w:tblW w:type="auto" w:w="0"/>
        <w:tblLayout w:type="autofit"/>
        <w:tblLook w:firstColumn="1" w:firstRow="1" w:lastColumn="0" w:lastRow="0" w:noHBand="0" w:noVBand="1" w:val="04A0"/>
      </w:tblPr>
      <w:tblGrid>
        <w:gridCol w:w="2880"/>
        <w:gridCol w:w="7920"/>
      </w:tblGrid>
      <w:tr>
        <w:tc>
          <w:tcPr>
            <w:tcW w:type="dxa" w:w="4500"/>
            <w:top w:val="single" w:sz="4" w:space="0" w:color="auto"/>
            <w:left w:val="single" w:sz="4" w:space="0" w:color="auto"/>
            <w:bottom w:val="single" w:sz="4" w:space="0" w:color="auto"/>
            <w:right w:val="single" w:sz="4" w:space="0" w:color="auto"/>
          </w:tcPr>
          <w:p>
            <w:r>
              <w:rPr>
                <w:rFonts w:ascii="Arial" w:hAnsi="Arial"/>
                <w:b/>
              </w:rPr>
              <w:t>Term</w:t>
            </w:r>
          </w:p>
        </w:tc>
        <w:tc>
          <w:tcPr>
            <w:tcW w:type="dxa" w:w="4500"/>
            <w:top w:val="single" w:sz="4" w:space="0" w:color="auto"/>
            <w:left w:val="single" w:sz="4" w:space="0" w:color="auto"/>
            <w:bottom w:val="single" w:sz="4" w:space="0" w:color="auto"/>
            <w:right w:val="single" w:sz="4" w:space="0" w:color="auto"/>
          </w:tcPr>
          <w:p>
            <w:r>
              <w:rPr>
                <w:rFonts w:ascii="Arial" w:hAnsi="Arial"/>
                <w:b/>
              </w:rPr>
              <w:t>Definition</w:t>
            </w:r>
          </w:p>
        </w:tc>
      </w:tr>
      <w:tr>
        <w:tc>
          <w:tcPr>
            <w:tcW w:type="dxa" w:w="2880"/>
            <w:top w:val="single" w:sz="4" w:space="0" w:color="auto"/>
            <w:left w:val="single" w:sz="4" w:space="0" w:color="auto"/>
            <w:bottom w:val="single" w:sz="4" w:space="0" w:color="auto"/>
            <w:right w:val="single" w:sz="4" w:space="0" w:color="auto"/>
          </w:tcPr>
          <w:p>
            <w:r>
              <w:rPr>
                <w:rFonts w:ascii="Arial" w:hAnsi="Arial"/>
              </w:rPr>
              <w:t>Concrete Pumping</w:t>
            </w:r>
          </w:p>
        </w:tc>
        <w:tc>
          <w:tcPr>
            <w:tcW w:type="dxa" w:w="7920"/>
            <w:top w:val="single" w:sz="4" w:space="0" w:color="auto"/>
            <w:left w:val="single" w:sz="4" w:space="0" w:color="auto"/>
            <w:bottom w:val="single" w:sz="4" w:space="0" w:color="auto"/>
            <w:right w:val="single" w:sz="4" w:space="0" w:color="auto"/>
          </w:tcPr>
          <w:p>
            <w:r>
              <w:rPr>
                <w:rFonts w:ascii="Arial" w:hAnsi="Arial"/>
              </w:rPr>
              <w:t>The process of conveying liquid concrete through a hose or pipe system using a concrete pump.</w:t>
            </w:r>
          </w:p>
        </w:tc>
      </w:tr>
      <w:tr>
        <w:tc>
          <w:tcPr>
            <w:tcW w:type="dxa" w:w="2880"/>
            <w:top w:val="single" w:sz="4" w:space="0" w:color="auto"/>
            <w:left w:val="single" w:sz="4" w:space="0" w:color="auto"/>
            <w:bottom w:val="single" w:sz="4" w:space="0" w:color="auto"/>
            <w:right w:val="single" w:sz="4" w:space="0" w:color="auto"/>
          </w:tcPr>
          <w:p>
            <w:r>
              <w:rPr>
                <w:rFonts w:ascii="Arial" w:hAnsi="Arial"/>
              </w:rPr>
              <w:t>Formwork</w:t>
            </w:r>
          </w:p>
        </w:tc>
        <w:tc>
          <w:tcPr>
            <w:tcW w:type="dxa" w:w="7920"/>
            <w:top w:val="single" w:sz="4" w:space="0" w:color="auto"/>
            <w:left w:val="single" w:sz="4" w:space="0" w:color="auto"/>
            <w:bottom w:val="single" w:sz="4" w:space="0" w:color="auto"/>
            <w:right w:val="single" w:sz="4" w:space="0" w:color="auto"/>
          </w:tcPr>
          <w:p>
            <w:r>
              <w:rPr>
                <w:rFonts w:ascii="Arial" w:hAnsi="Arial"/>
              </w:rPr>
              <w:t>The temporary or permanent molds into which concrete or similar materials are poured.</w:t>
            </w:r>
          </w:p>
        </w:tc>
      </w:tr>
      <w:tr>
        <w:tc>
          <w:tcPr>
            <w:tcW w:type="dxa" w:w="2880"/>
            <w:top w:val="single" w:sz="4" w:space="0" w:color="auto"/>
            <w:left w:val="single" w:sz="4" w:space="0" w:color="auto"/>
            <w:bottom w:val="single" w:sz="4" w:space="0" w:color="auto"/>
            <w:right w:val="single" w:sz="4" w:space="0" w:color="auto"/>
          </w:tcPr>
          <w:p>
            <w:r>
              <w:rPr>
                <w:rFonts w:ascii="Arial" w:hAnsi="Arial"/>
              </w:rPr>
              <w:t>Rebar (Reinforcing Bar)</w:t>
            </w:r>
          </w:p>
        </w:tc>
        <w:tc>
          <w:tcPr>
            <w:tcW w:type="dxa" w:w="7920"/>
            <w:top w:val="single" w:sz="4" w:space="0" w:color="auto"/>
            <w:left w:val="single" w:sz="4" w:space="0" w:color="auto"/>
            <w:bottom w:val="single" w:sz="4" w:space="0" w:color="auto"/>
            <w:right w:val="single" w:sz="4" w:space="0" w:color="auto"/>
          </w:tcPr>
          <w:p>
            <w:r>
              <w:rPr>
                <w:rFonts w:ascii="Arial" w:hAnsi="Arial"/>
              </w:rPr>
              <w:t>A steel bar or mesh of steel wires used as a tension device in reinforced concrete and reinforced masonry structures to strengthen and aid the concrete under tension.</w:t>
            </w:r>
          </w:p>
        </w:tc>
      </w:tr>
      <w:tr>
        <w:tc>
          <w:tcPr>
            <w:tcW w:type="dxa" w:w="2880"/>
            <w:top w:val="single" w:sz="4" w:space="0" w:color="auto"/>
            <w:left w:val="single" w:sz="4" w:space="0" w:color="auto"/>
            <w:bottom w:val="single" w:sz="4" w:space="0" w:color="auto"/>
            <w:right w:val="single" w:sz="4" w:space="0" w:color="auto"/>
          </w:tcPr>
          <w:p>
            <w:r>
              <w:rPr>
                <w:rFonts w:ascii="Arial" w:hAnsi="Arial"/>
              </w:rPr>
              <w:t>Shoring</w:t>
            </w:r>
          </w:p>
        </w:tc>
        <w:tc>
          <w:tcPr>
            <w:tcW w:type="dxa" w:w="7920"/>
            <w:top w:val="single" w:sz="4" w:space="0" w:color="auto"/>
            <w:left w:val="single" w:sz="4" w:space="0" w:color="auto"/>
            <w:bottom w:val="single" w:sz="4" w:space="0" w:color="auto"/>
            <w:right w:val="single" w:sz="4" w:space="0" w:color="auto"/>
          </w:tcPr>
          <w:p>
            <w:r>
              <w:rPr>
                <w:rFonts w:ascii="Arial" w:hAnsi="Arial"/>
              </w:rPr>
              <w:t>A system of supports used to prevent the collapse of a structure or excavation.</w:t>
            </w:r>
          </w:p>
        </w:tc>
      </w:tr>
      <w:tr>
        <w:tc>
          <w:tcPr>
            <w:tcW w:type="dxa" w:w="2880"/>
            <w:top w:val="single" w:sz="4" w:space="0" w:color="auto"/>
            <w:left w:val="single" w:sz="4" w:space="0" w:color="auto"/>
            <w:bottom w:val="single" w:sz="4" w:space="0" w:color="auto"/>
            <w:right w:val="single" w:sz="4" w:space="0" w:color="auto"/>
          </w:tcPr>
          <w:p>
            <w:r>
              <w:rPr>
                <w:rFonts w:ascii="Arial" w:hAnsi="Arial"/>
              </w:rPr>
              <w:t>Limited Access Zone</w:t>
            </w:r>
          </w:p>
        </w:tc>
        <w:tc>
          <w:tcPr>
            <w:tcW w:type="dxa" w:w="7920"/>
            <w:top w:val="single" w:sz="4" w:space="0" w:color="auto"/>
            <w:left w:val="single" w:sz="4" w:space="0" w:color="auto"/>
            <w:bottom w:val="single" w:sz="4" w:space="0" w:color="auto"/>
            <w:right w:val="single" w:sz="4" w:space="0" w:color="auto"/>
          </w:tcPr>
          <w:p>
            <w:r>
              <w:rPr>
                <w:rFonts w:ascii="Arial" w:hAnsi="Arial"/>
              </w:rPr>
              <w:t>An area alongside a masonry wall under construction, established to protect employees from falling masonry units.</w:t>
            </w:r>
          </w:p>
        </w:tc>
      </w:tr>
    </w:tbl>
    <w:p>
      <w:pPr>
        <w:pStyle w:val="Heading1"/>
      </w:pPr>
      <w:r>
        <w:rPr>
          <w:rFonts w:ascii="Arial" w:hAnsi="Arial"/>
        </w:rPr>
        <w:t>5. Responsibilities</w:t>
      </w:r>
    </w:p>
    <w:p>
      <w:pPr>
        <w:pStyle w:val="Heading2"/>
      </w:pPr>
      <w:r>
        <w:rPr>
          <w:rFonts w:ascii="Arial" w:hAnsi="Arial"/>
        </w:rPr>
        <w:t>5.1 Company/Management Responsibilities</w:t>
      </w:r>
    </w:p>
    <w:p>
      <w:pPr>
        <w:pStyle w:val="ListBullet"/>
      </w:pPr>
      <w:r>
        <w:rPr>
          <w:rFonts w:ascii="Arial" w:hAnsi="Arial"/>
        </w:rPr>
        <w:t>Provide a safe work environment, necessary resources, and ensure compliance with all applicable regulations.</w:t>
      </w:r>
    </w:p>
    <w:p>
      <w:pPr>
        <w:pStyle w:val="ListBullet"/>
      </w:pPr>
      <w:r>
        <w:rPr>
          <w:rFonts w:ascii="Arial" w:hAnsi="Arial"/>
        </w:rPr>
        <w:t>Develop, implement, and maintain this MISH program.</w:t>
      </w:r>
    </w:p>
    <w:p>
      <w:pPr>
        <w:pStyle w:val="ListBullet"/>
      </w:pPr>
      <w:r>
        <w:rPr>
          <w:rFonts w:ascii="Arial" w:hAnsi="Arial"/>
        </w:rPr>
        <w:t>Conduct regular safety audits and reviews.</w:t>
      </w:r>
    </w:p>
    <w:p>
      <w:pPr>
        <w:pStyle w:val="Heading2"/>
      </w:pPr>
      <w:r>
        <w:rPr>
          <w:rFonts w:ascii="Arial" w:hAnsi="Arial"/>
        </w:rPr>
        <w:t>5.2 Supervisor/Foreman Responsibilities</w:t>
      </w:r>
    </w:p>
    <w:p>
      <w:pPr>
        <w:pStyle w:val="ListBullet"/>
      </w:pPr>
      <w:r>
        <w:rPr>
          <w:rFonts w:ascii="Arial" w:hAnsi="Arial"/>
        </w:rPr>
        <w:t>Ensure all concrete and masonry operations are conducted safely and in accordance with this program.</w:t>
      </w:r>
    </w:p>
    <w:p>
      <w:pPr>
        <w:pStyle w:val="ListBullet"/>
      </w:pPr>
      <w:r>
        <w:rPr>
          <w:rFonts w:ascii="Arial" w:hAnsi="Arial"/>
        </w:rPr>
        <w:t>Provide site-specific training and enforce safety rules.</w:t>
      </w:r>
    </w:p>
    <w:p>
      <w:pPr>
        <w:pStyle w:val="ListBullet"/>
      </w:pPr>
      <w:r>
        <w:rPr>
          <w:rFonts w:ascii="Arial" w:hAnsi="Arial"/>
        </w:rPr>
        <w:t>Conduct daily pre-task planning and safety briefings.</w:t>
      </w:r>
    </w:p>
    <w:p>
      <w:pPr>
        <w:pStyle w:val="ListBullet"/>
      </w:pPr>
      <w:r>
        <w:rPr>
          <w:rFonts w:ascii="Arial" w:hAnsi="Arial"/>
        </w:rPr>
        <w:t>Inspect equipment and tools before use.</w:t>
      </w:r>
    </w:p>
    <w:p>
      <w:pPr>
        <w:pStyle w:val="Heading2"/>
      </w:pPr>
      <w:r>
        <w:rPr>
          <w:rFonts w:ascii="Arial" w:hAnsi="Arial"/>
        </w:rPr>
        <w:t>5.3 Employee Responsibilities</w:t>
      </w:r>
    </w:p>
    <w:p>
      <w:pPr>
        <w:pStyle w:val="ListBullet"/>
      </w:pPr>
      <w:r>
        <w:rPr>
          <w:rFonts w:ascii="Arial" w:hAnsi="Arial"/>
        </w:rPr>
        <w:t>Adhere to all safety policies, procedures, and instructions.</w:t>
      </w:r>
    </w:p>
    <w:p>
      <w:pPr>
        <w:pStyle w:val="ListBullet"/>
      </w:pPr>
      <w:r>
        <w:rPr>
          <w:rFonts w:ascii="Arial" w:hAnsi="Arial"/>
        </w:rPr>
        <w:t>Report any unsafe conditions, equipment, or practices immediately to their supervisor.</w:t>
      </w:r>
    </w:p>
    <w:p>
      <w:pPr>
        <w:pStyle w:val="ListBullet"/>
      </w:pPr>
      <w:r>
        <w:rPr>
          <w:rFonts w:ascii="Arial" w:hAnsi="Arial"/>
        </w:rPr>
        <w:t>Use all required personal protective equipment (PPE).</w:t>
      </w:r>
    </w:p>
    <w:p>
      <w:pPr>
        <w:pStyle w:val="Heading2"/>
      </w:pPr>
      <w:r>
        <w:rPr>
          <w:rFonts w:ascii="Arial" w:hAnsi="Arial"/>
        </w:rPr>
        <w:t>5.4 Subcontractor Responsibilities</w:t>
      </w:r>
    </w:p>
    <w:p>
      <w:pPr>
        <w:pStyle w:val="ListBullet"/>
      </w:pPr>
      <w:r>
        <w:rPr>
          <w:rFonts w:ascii="Arial" w:hAnsi="Arial"/>
        </w:rPr>
        <w:t>Comply with all aspects of this MISH program and applicable OSHA/WISHA regulations.</w:t>
      </w:r>
    </w:p>
    <w:p>
      <w:pPr>
        <w:pStyle w:val="ListBullet"/>
      </w:pPr>
      <w:r>
        <w:rPr>
          <w:rFonts w:ascii="Arial" w:hAnsi="Arial"/>
        </w:rPr>
        <w:t>Provide their employees with appropriate training and PPE.</w:t>
      </w:r>
    </w:p>
    <w:p>
      <w:pPr>
        <w:pStyle w:val="ListBullet"/>
      </w:pPr>
      <w:r>
        <w:rPr>
          <w:rFonts w:ascii="Arial" w:hAnsi="Arial"/>
        </w:rPr>
        <w:t>Coordinate all concrete and masonry work with MH Construction site management.</w:t>
      </w:r>
    </w:p>
    <w:p>
      <w:pPr>
        <w:pStyle w:val="Heading1"/>
      </w:pPr>
      <w:r>
        <w:rPr>
          <w:rFonts w:ascii="Arial" w:hAnsi="Arial"/>
        </w:rPr>
        <w:t>6. Procedures / Requirements</w:t>
      </w:r>
    </w:p>
    <w:p>
      <w:pPr>
        <w:pStyle w:val="Heading2"/>
      </w:pPr>
      <w:r>
        <w:rPr>
          <w:rFonts w:ascii="Arial" w:hAnsi="Arial"/>
        </w:rPr>
        <w:t>6.1 General Requirements for Concrete and Masonry Construction</w:t>
      </w:r>
    </w:p>
    <w:p>
      <w:pPr>
        <w:pStyle w:val="ListNumber"/>
      </w:pPr>
      <w:r>
        <w:rPr>
          <w:rFonts w:ascii="Arial" w:hAnsi="Arial"/>
        </w:rPr>
        <w:t>All employees involved in concrete and masonry operations must be trained in the recognition and avoidance of hazards associated with the work. (Per 29 CFR 1926.701(a))</w:t>
      </w:r>
    </w:p>
    <w:p>
      <w:pPr>
        <w:pStyle w:val="ListNumber"/>
      </w:pPr>
      <w:r>
        <w:rPr>
          <w:rFonts w:ascii="Arial" w:hAnsi="Arial"/>
        </w:rPr>
        <w:t>Protruding reinforcing steel onto and into which employees could fall must be guarded to eliminate the hazard of impalement. (Per 29 CFR 1926.701(b))</w:t>
      </w:r>
    </w:p>
    <w:p>
      <w:pPr>
        <w:pStyle w:val="ListNumber"/>
      </w:pPr>
      <w:r>
        <w:rPr>
          <w:rFonts w:ascii="Arial" w:hAnsi="Arial"/>
        </w:rPr>
        <w:t>No employee shall be permitted to work where they are exposed to the hazards of falling objects from above. (Per WAC 296-155-680(1))</w:t>
      </w:r>
    </w:p>
    <w:p>
      <w:pPr>
        <w:pStyle w:val="ListNumber"/>
      </w:pPr>
      <w:r>
        <w:rPr>
          <w:rFonts w:ascii="Arial" w:hAnsi="Arial"/>
        </w:rPr>
        <w:t>Bulk cement storage bins and silos must be equipped with a fixed ladder or stairway, and a safe means of entry and exit. (Per 29 CFR 1926.701(c))</w:t>
      </w:r>
    </w:p>
    <w:p>
      <w:pPr>
        <w:pStyle w:val="Heading2"/>
      </w:pPr>
      <w:r>
        <w:rPr>
          <w:rFonts w:ascii="Arial" w:hAnsi="Arial"/>
        </w:rPr>
        <w:t>6.2 Equipment and Tools</w:t>
      </w:r>
    </w:p>
    <w:p>
      <w:pPr>
        <w:pStyle w:val="ListNumber"/>
      </w:pPr>
      <w:r>
        <w:rPr>
          <w:rFonts w:ascii="Arial" w:hAnsi="Arial"/>
        </w:rPr>
        <w:t>All concrete mixers must be equipped with a guard on the mixer drum opening. (Per 29 CFR 1926.702(a))</w:t>
      </w:r>
    </w:p>
    <w:p>
      <w:pPr>
        <w:pStyle w:val="ListNumber"/>
      </w:pPr>
      <w:r>
        <w:rPr>
          <w:rFonts w:ascii="Arial" w:hAnsi="Arial"/>
        </w:rPr>
        <w:t>Power concrete trowels must be equipped with a deadman control. (Per 29 CFR 1926.702(b))</w:t>
      </w:r>
    </w:p>
    <w:p>
      <w:pPr>
        <w:pStyle w:val="ListNumber"/>
      </w:pPr>
      <w:r>
        <w:rPr>
          <w:rFonts w:ascii="Arial" w:hAnsi="Arial"/>
        </w:rPr>
        <w:t>Concrete buggies and powered concrete carts must have a brake system and be operated by trained personnel. (Per WAC 296-155-682(1))</w:t>
      </w:r>
    </w:p>
    <w:p>
      <w:pPr>
        <w:pStyle w:val="Heading2"/>
      </w:pPr>
      <w:r>
        <w:rPr>
          <w:rFonts w:ascii="Arial" w:hAnsi="Arial"/>
        </w:rPr>
        <w:t>6.3 Formwork, Shoring, and Reshoring</w:t>
      </w:r>
    </w:p>
    <w:p>
      <w:pPr>
        <w:pStyle w:val="ListNumber"/>
      </w:pPr>
      <w:r>
        <w:rPr>
          <w:rFonts w:ascii="Arial" w:hAnsi="Arial"/>
        </w:rPr>
        <w:t>Formwork and shoring must be designed, fabricated, erected, supported, braced, and maintained so that it will safely support all vertical and lateral loads. (Per 29 CFR 1926.703(a)(1))</w:t>
      </w:r>
    </w:p>
    <w:p>
      <w:pPr>
        <w:pStyle w:val="ListNumber"/>
      </w:pPr>
      <w:r>
        <w:rPr>
          <w:rFonts w:ascii="Arial" w:hAnsi="Arial"/>
        </w:rPr>
        <w:t>Drawings or plans for the jack layout, formwork, shoring, working decks, and scaffolds must be available at the jobsite. (Per 29 CFR 1926.703(a)(2))</w:t>
      </w:r>
    </w:p>
    <w:p>
      <w:pPr>
        <w:pStyle w:val="ListNumber"/>
      </w:pPr>
      <w:r>
        <w:rPr>
          <w:rFonts w:ascii="Arial" w:hAnsi="Arial"/>
        </w:rPr>
        <w:t>Shoring and reshoring must not be removed until the concrete has gained sufficient strength to support its weight and superimposed loads. (Per WAC 296-155-684(2))</w:t>
      </w:r>
    </w:p>
    <w:p>
      <w:pPr>
        <w:pStyle w:val="Heading2"/>
      </w:pPr>
      <w:r>
        <w:rPr>
          <w:rFonts w:ascii="Arial" w:hAnsi="Arial"/>
        </w:rPr>
        <w:t>6.4 Precast Concrete</w:t>
      </w:r>
    </w:p>
    <w:p>
      <w:pPr>
        <w:pStyle w:val="ListNumber"/>
      </w:pPr>
      <w:r>
        <w:rPr>
          <w:rFonts w:ascii="Arial" w:hAnsi="Arial"/>
        </w:rPr>
        <w:t>Precast concrete members must be handled, stored, and erected so that they will not be subjected to excessive stresses and will not be damaged. (Per 29 CFR 1926.704(a))</w:t>
      </w:r>
    </w:p>
    <w:p>
      <w:pPr>
        <w:pStyle w:val="ListNumber"/>
      </w:pPr>
      <w:r>
        <w:rPr>
          <w:rFonts w:ascii="Arial" w:hAnsi="Arial"/>
        </w:rPr>
        <w:t>A designated person must inspect the lifting inserts and their attachment before the lift. (Per 29 CFR 1926.704(b))</w:t>
      </w:r>
    </w:p>
    <w:p>
      <w:pPr>
        <w:pStyle w:val="Heading2"/>
      </w:pPr>
      <w:r>
        <w:rPr>
          <w:rFonts w:ascii="Arial" w:hAnsi="Arial"/>
        </w:rPr>
        <w:t>6.5 Masonry Construction</w:t>
      </w:r>
    </w:p>
    <w:p>
      <w:pPr>
        <w:pStyle w:val="ListNumber"/>
      </w:pPr>
      <w:r>
        <w:rPr>
          <w:rFonts w:ascii="Arial" w:hAnsi="Arial"/>
        </w:rPr>
        <w:t>A limited access zone must be established whenever a masonry wall is being constructed. (Per 29 CFR 1926.706(a)(1))</w:t>
      </w:r>
    </w:p>
    <w:p>
      <w:pPr>
        <w:pStyle w:val="ListNumber"/>
      </w:pPr>
      <w:r>
        <w:rPr>
          <w:rFonts w:ascii="Arial" w:hAnsi="Arial"/>
        </w:rPr>
        <w:t>The limited access zone must be equal to the height of the wall plus 4 feet, and run the entire length of the wall. (Per 29 CFR 1926.706(a)(2))</w:t>
      </w:r>
    </w:p>
    <w:p>
      <w:pPr>
        <w:pStyle w:val="ListNumber"/>
      </w:pPr>
      <w:r>
        <w:rPr>
          <w:rFonts w:ascii="Arial" w:hAnsi="Arial"/>
        </w:rPr>
        <w:t>All masonry walls over 8 feet in height must be adequately braced to prevent overturning and to prevent collapse unless the wall is designed to be self-supporting. (Per WAC 296-155-697(1))</w:t>
      </w:r>
    </w:p>
    <w:p>
      <w:pPr>
        <w:pStyle w:val="Heading2"/>
      </w:pPr>
      <w:r>
        <w:rPr>
          <w:rFonts w:ascii="Arial" w:hAnsi="Arial"/>
        </w:rPr>
        <w:t>6.6 Concrete Pumping</w:t>
      </w:r>
    </w:p>
    <w:p>
      <w:pPr>
        <w:pStyle w:val="ListNumber"/>
      </w:pPr>
      <w:r>
        <w:rPr>
          <w:rFonts w:ascii="Arial" w:hAnsi="Arial"/>
        </w:rPr>
        <w:t>Concrete pumping systems must be set up and operated in accordance with the manufacturer's specifications. (Per AGC Safety and Health Manual Ch. 25)</w:t>
      </w:r>
    </w:p>
    <w:p>
      <w:pPr>
        <w:pStyle w:val="ListNumber"/>
      </w:pPr>
      <w:r>
        <w:rPr>
          <w:rFonts w:ascii="Arial" w:hAnsi="Arial"/>
        </w:rPr>
        <w:t>Hoses and pipes must be secured to prevent whipping or uncontrolled movement during pumping operations.</w:t>
      </w:r>
    </w:p>
    <w:p>
      <w:pPr>
        <w:pStyle w:val="Heading1"/>
      </w:pPr>
      <w:r>
        <w:rPr>
          <w:rFonts w:ascii="Arial" w:hAnsi="Arial"/>
        </w:rPr>
        <w:t>7. Training Requirements</w:t>
      </w:r>
    </w:p>
    <w:p>
      <w:r>
        <w:rPr>
          <w:rFonts w:ascii="Arial" w:hAnsi="Arial"/>
        </w:rPr>
        <w:t>All employees involved in concrete and masonry construction activities must receive training on the hazards associated with the work, safe work practices, and the proper use of equipment and PPE. Training must be conducted by a qualified person and documented. Retraining will occur as necessary, but at least every three years, or when new hazards or equipment are introduced. (Per 29 CFR 1926.21(b)(2) and WAC 296-155-005(1)(c))</w:t>
      </w:r>
    </w:p>
    <w:p>
      <w:pPr>
        <w:pStyle w:val="Heading1"/>
      </w:pPr>
      <w:r>
        <w:rPr>
          <w:rFonts w:ascii="Arial" w:hAnsi="Arial"/>
        </w:rPr>
        <w:t>8. Inspection and Enforcement</w:t>
      </w:r>
    </w:p>
    <w:p>
      <w:pPr/>
      <w:r>
        <w:rPr>
          <w:rFonts w:ascii="Arial" w:hAnsi="Arial"/>
        </w:rPr>
        <w:t>Supervisors will conduct daily inspections of concrete and masonry work areas, equipment, and procedures to ensure compliance with this program and all applicable regulations. Any deficiencies identified will be corrected immediately. Non-compliance by employees or subcontractors will result in corrective action as outlined in the 'Violation Consequences' section.</w:t>
      </w:r>
    </w:p>
    <w:p>
      <w:pPr>
        <w:pStyle w:val="Heading1"/>
      </w:pPr>
      <w:r>
        <w:rPr>
          <w:rFonts w:ascii="Arial" w:hAnsi="Arial"/>
        </w:rPr>
        <w:t>9. Recordkeeping</w:t>
      </w:r>
    </w:p>
    <w:p>
      <w:pPr/>
      <w:r>
        <w:rPr>
          <w:rFonts w:ascii="Arial" w:hAnsi="Arial"/>
        </w:rPr>
        <w:t>Records of all safety training, equipment inspections, and incident investigations related to concrete and masonry construction will be maintained by the Safety Officer for a minimum of five years. These records will be readily accessible for review by employees, regulatory agencies, and management.</w:t>
      </w:r>
    </w:p>
    <w:p>
      <w:pPr>
        <w:pStyle w:val="Heading1"/>
      </w:pPr>
      <w:r>
        <w:rPr>
          <w:rFonts w:ascii="Arial" w:hAnsi="Arial"/>
        </w:rPr>
        <w:t>10. Violation Consequences</w:t>
      </w:r>
    </w:p>
    <w:p>
      <w:pPr/>
      <w:r>
        <w:rPr>
          <w:rFonts w:ascii="Arial" w:hAnsi="Arial"/>
        </w:rPr>
        <w:t>Violations of this Concrete and Masonry Construction safety program will result in progressive disciplinary action, up to and including termination of employment or contract. The severity of the disciplinary action will depend on the nature and frequency of the violation, and the potential for harm. All disciplinary actions will be documented.</w:t>
      </w:r>
    </w:p>
    <w:p>
      <w:pPr>
        <w:pStyle w:val="Heading1"/>
      </w:pPr>
      <w:r>
        <w:rPr>
          <w:rFonts w:ascii="Arial" w:hAnsi="Arial"/>
        </w:rPr>
        <w:t>11. References</w:t>
      </w:r>
    </w:p>
    <w:p>
      <w:pPr/>
      <w:r>
        <w:rPr>
          <w:rFonts w:ascii="Arial" w:hAnsi="Arial"/>
        </w:rPr>
        <w:t>The following regulatory standards and guidelines were referenced in the development of this program:</w:t>
      </w:r>
    </w:p>
    <w:p>
      <w:pPr>
        <w:pStyle w:val="ListBullet"/>
      </w:pPr>
      <w:r>
        <w:rPr>
          <w:rFonts w:ascii="Arial" w:hAnsi="Arial"/>
        </w:rPr>
        <w:t>29 CFR 1926 Subpart Q - Concrete and Masonry Construction</w:t>
      </w:r>
    </w:p>
    <w:p>
      <w:pPr>
        <w:pStyle w:val="ListBullet"/>
      </w:pPr>
      <w:r>
        <w:rPr>
          <w:rFonts w:ascii="Arial" w:hAnsi="Arial"/>
        </w:rPr>
        <w:t>29 CFR 1926.700 - Scope, applications, and definitions applicable to this subpart</w:t>
      </w:r>
    </w:p>
    <w:p>
      <w:pPr>
        <w:pStyle w:val="ListBullet"/>
      </w:pPr>
      <w:r>
        <w:rPr>
          <w:rFonts w:ascii="Arial" w:hAnsi="Arial"/>
        </w:rPr>
        <w:t>29 CFR 1926.701 - General requirements</w:t>
      </w:r>
    </w:p>
    <w:p>
      <w:pPr>
        <w:pStyle w:val="ListBullet"/>
      </w:pPr>
      <w:r>
        <w:rPr>
          <w:rFonts w:ascii="Arial" w:hAnsi="Arial"/>
        </w:rPr>
        <w:t>29 CFR 1926.702 - Requirements for equipment and tools</w:t>
      </w:r>
    </w:p>
    <w:p>
      <w:pPr>
        <w:pStyle w:val="ListBullet"/>
      </w:pPr>
      <w:r>
        <w:rPr>
          <w:rFonts w:ascii="Arial" w:hAnsi="Arial"/>
        </w:rPr>
        <w:t>29 CFR 1926.703 - Cast-in-Place Concrete</w:t>
      </w:r>
    </w:p>
    <w:p>
      <w:pPr>
        <w:pStyle w:val="ListBullet"/>
      </w:pPr>
      <w:r>
        <w:rPr>
          <w:rFonts w:ascii="Arial" w:hAnsi="Arial"/>
        </w:rPr>
        <w:t>29 CFR 1926.706 - Requirements for masonry construction</w:t>
      </w:r>
    </w:p>
    <w:p>
      <w:pPr>
        <w:pStyle w:val="ListBullet"/>
      </w:pPr>
      <w:r>
        <w:rPr>
          <w:rFonts w:ascii="Arial" w:hAnsi="Arial"/>
        </w:rPr>
        <w:t>WAC 296-155-675 - Scope, application and definitions</w:t>
      </w:r>
    </w:p>
    <w:p>
      <w:pPr>
        <w:pStyle w:val="ListBullet"/>
      </w:pPr>
      <w:r>
        <w:rPr>
          <w:rFonts w:ascii="Arial" w:hAnsi="Arial"/>
        </w:rPr>
        <w:t>WAC 296-155-680 - General provisions</w:t>
      </w:r>
    </w:p>
    <w:p>
      <w:pPr>
        <w:pStyle w:val="ListBullet"/>
      </w:pPr>
      <w:r>
        <w:rPr>
          <w:rFonts w:ascii="Arial" w:hAnsi="Arial"/>
        </w:rPr>
        <w:t>WAC 296-155-682 - Requirements for equipment and tools</w:t>
      </w:r>
    </w:p>
    <w:p>
      <w:pPr>
        <w:pStyle w:val="ListBullet"/>
      </w:pPr>
      <w:r>
        <w:rPr>
          <w:rFonts w:ascii="Arial" w:hAnsi="Arial"/>
        </w:rPr>
        <w:t>WAC 296-155-684 - Requirements for cast-in-place concrete</w:t>
      </w:r>
    </w:p>
    <w:p>
      <w:pPr>
        <w:pStyle w:val="ListBullet"/>
      </w:pPr>
      <w:r>
        <w:rPr>
          <w:rFonts w:ascii="Arial" w:hAnsi="Arial"/>
        </w:rPr>
        <w:t>WAC 296-155-697 - Requirements for masonry construction</w:t>
      </w:r>
    </w:p>
    <w:p>
      <w:pPr>
        <w:pStyle w:val="ListBullet"/>
      </w:pPr>
      <w:r>
        <w:rPr>
          <w:rFonts w:ascii="Arial" w:hAnsi="Arial"/>
        </w:rPr>
        <w:t>AGC Safety and Health Manual Ch. 25 - Concrete and Masonry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6D4E6A2-93CF-4B24-945C-56BD3FFDAA8F}"/>
</file>

<file path=customXml/itemProps3.xml><?xml version="1.0" encoding="utf-8"?>
<ds:datastoreItem xmlns:ds="http://schemas.openxmlformats.org/officeDocument/2006/customXml" ds:itemID="{6F124C3C-8B63-4AFD-B6C1-989A5B8755F4}"/>
</file>

<file path=customXml/itemProps4.xml><?xml version="1.0" encoding="utf-8"?>
<ds:datastoreItem xmlns:ds="http://schemas.openxmlformats.org/officeDocument/2006/customXml" ds:itemID="{3152FF24-B43E-449A-83A6-2CF85170A44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