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878"/>
      </w:tblGrid>
      <w:tr>
        <w:trPr>
          <w:trHeight w:val="12200" w:hRule="atLeast"/>
        </w:trPr>
        <w:tc>
          <w:tcPr>
            <w:tcW w:type="dxa" w:w="9878"/>
            <w:shd w:fill="0F1412"/>
            <w:vAlign w:val="center"/>
          </w:tcPr>
          <w:p>
            <w:pPr>
              <w:spacing w:after="840"/>
              <w:jc w:val="center"/>
            </w:pPr>
            <w:r>
              <w:drawing>
                <wp:inline xmlns:a="http://schemas.openxmlformats.org/drawingml/2006/main" xmlns:pic="http://schemas.openxmlformats.org/drawingml/2006/picture">
                  <wp:extent cx="2148840" cy="1224580"/>
                  <wp:docPr id="1" name="Picture 1"/>
                  <wp:cNvGraphicFramePr>
                    <a:graphicFrameLocks noChangeAspect="1"/>
                  </wp:cNvGraphicFramePr>
                  <a:graphic>
                    <a:graphicData uri="http://schemas.openxmlformats.org/drawingml/2006/picture">
                      <pic:pic>
                        <pic:nvPicPr>
                          <pic:cNvPr id="0" name="mh-logo-from-bible.png"/>
                          <pic:cNvPicPr/>
                        </pic:nvPicPr>
                        <pic:blipFill>
                          <a:blip r:embed="rId13"/>
                          <a:stretch>
                            <a:fillRect/>
                          </a:stretch>
                        </pic:blipFill>
                        <pic:spPr>
                          <a:xfrm>
                            <a:off x="0" y="0"/>
                            <a:ext cx="2148840" cy="1224580"/>
                          </a:xfrm>
                          <a:prstGeom prst="rect"/>
                        </pic:spPr>
                      </pic:pic>
                    </a:graphicData>
                  </a:graphic>
                </wp:inline>
              </w:drawing>
            </w:r>
          </w:p>
          <w:p>
            <w:pPr>
              <w:spacing w:after="320"/>
              <w:jc w:val="left"/>
            </w:pPr>
            <w:r>
              <w:rPr>
                <w:rFonts w:ascii="Mendl Sans Dusk Medium" w:hAnsi="Mendl Sans Dusk Medium" w:eastAsia="Mendl Sans Dusk Medium" w:cs="Mendl Sans Dusk Medium"/>
                <w:b/>
                <w:color w:val="BD9264"/>
                <w:sz w:val="18"/>
              </w:rPr>
              <w:t>CONTROLLED ENTERPRISE DOCUMENT</w:t>
            </w:r>
          </w:p>
          <w:p>
            <w:pPr>
              <w:spacing w:after="220"/>
              <w:jc w:val="left"/>
            </w:pPr>
            <w:r>
              <w:rPr>
                <w:rFonts w:ascii="Mendl Sans Dusk Bold" w:hAnsi="Mendl Sans Dusk Bold" w:eastAsia="Mendl Sans Dusk Bold" w:cs="Mendl Sans Dusk Bold"/>
                <w:b/>
                <w:color w:val="FFFFFF"/>
                <w:sz w:val="50"/>
              </w:rPr>
              <w:t>Ecosystem Governance And Document Control Standard</w:t>
            </w:r>
          </w:p>
          <w:p>
            <w:pPr>
              <w:spacing w:after="320"/>
              <w:jc w:val="left"/>
            </w:pPr>
            <w:r>
              <w:rPr>
                <w:rFonts w:ascii="Mendl Sans Dusk Medium" w:hAnsi="Mendl Sans Dusk Medium" w:eastAsia="Mendl Sans Dusk Medium" w:cs="Mendl Sans Dusk Medium"/>
                <w:b/>
                <w:color w:val="628F79"/>
                <w:sz w:val="26"/>
              </w:rPr>
              <w:t>MH Construction Enterprise Management System</w:t>
            </w:r>
          </w:p>
          <w:p>
            <w:pPr>
              <w:spacing w:after="240"/>
              <w:jc w:val="left"/>
            </w:pPr>
            <w:r>
              <w:rPr>
                <w:rFonts w:ascii="Mendl Sans Dusk Regular" w:hAnsi="Mendl Sans Dusk Regular" w:eastAsia="Mendl Sans Dusk Regular" w:cs="Mendl Sans Dusk Regular"/>
                <w:color w:val="FFFFFF"/>
                <w:sz w:val="18"/>
              </w:rPr>
              <w:t>Document family: CORE DOCTRINE\nControlled file: mh-ecosystem-governance-and-document-control-standard-v1-0-draft.docx\nLifecycle: Draft</w:t>
            </w:r>
          </w:p>
          <w:p>
            <w:pPr>
              <w:spacing w:before="120"/>
              <w:pBdr>
                <w:bottom w:val="single" w:sz="6" w:space="7" w:color="BD9264"/>
              </w:pBdr>
            </w:pPr>
            <w:r>
              <w:rPr>
                <w:rFonts w:ascii="Mendl Sans Dusk Medium" w:hAnsi="Mendl Sans Dusk Medium" w:eastAsia="Mendl Sans Dusk Medium" w:cs="Mendl Sans Dusk Medium"/>
                <w:b/>
                <w:color w:val="FFFFFF"/>
                <w:sz w:val="18"/>
              </w:rPr>
              <w:t>Use only after required functional, technical, field-usability, and approval gates are complete.</w:t>
            </w:r>
          </w:p>
        </w:tc>
      </w:tr>
    </w:tbl>
    <w:p>
      <w:r>
        <w:br w:type="page"/>
      </w:r>
    </w:p>
    <w:p>
      <w:pPr/>
      <w:r>
        <w:t>Control: Version 1.0 | Status Draft | Author and Chief Editor: Matt Ramsey | Co-Editor: Todd Shoeff | Final Approver: Jeremy Thamert</w:t>
      </w:r>
    </w:p>
    <w:p>
      <w:pPr>
        <w:pStyle w:val="Title"/>
      </w:pPr>
      <w:r>
        <w:t>MH Ecosystem Governance and Document Control Standard</w:t>
      </w:r>
    </w:p>
    <w:p>
      <w:pPr>
        <w:pStyle w:val="Subtitle"/>
      </w:pPr>
      <w:r>
        <w:t>Version 1.0 | Draft | Effective date pending approval</w:t>
      </w:r>
    </w:p>
    <w:tbl>
      <w:tblPr>
        <w:tblW w:type="auto" w:w="0"/>
        <w:tblLayout w:type="fixed"/>
        <w:tblLook w:firstColumn="1" w:firstRow="1" w:lastColumn="0" w:lastRow="0" w:noHBand="0" w:noVBand="1" w:val="04A0"/>
      </w:tblPr>
      <w:tblGrid>
        <w:gridCol w:w="4939"/>
        <w:gridCol w:w="4939"/>
      </w:tblGrid>
      <w:tr>
        <w:tc>
          <w:tcPr>
            <w:tcW w:type="dxa" w:w="3168"/>
            <w:vAlign w:val="center"/>
            <w:shd w:fill="386851"/>
          </w:tcPr>
          <w:p>
            <w:r/>
            <w:r>
              <w:rPr>
                <w:rFonts w:ascii="Mendl Sans Dusk Medium" w:hAnsi="Mendl Sans Dusk Medium" w:eastAsia="Mendl Sans Dusk Medium" w:cs="Mendl Sans Dusk Medium"/>
                <w:b/>
                <w:color w:val="FFFFFF"/>
                <w:sz w:val="18"/>
              </w:rPr>
              <w:t>Control Role</w:t>
            </w:r>
          </w:p>
        </w:tc>
        <w:tc>
          <w:tcPr>
            <w:tcW w:type="dxa" w:w="6912"/>
            <w:vAlign w:val="center"/>
            <w:shd w:fill="386851"/>
          </w:tcPr>
          <w:p>
            <w:r/>
            <w:r>
              <w:rPr>
                <w:rFonts w:ascii="Mendl Sans Dusk Medium" w:hAnsi="Mendl Sans Dusk Medium" w:eastAsia="Mendl Sans Dusk Medium" w:cs="Mendl Sans Dusk Medium"/>
                <w:b/>
                <w:color w:val="FFFFFF"/>
                <w:sz w:val="18"/>
              </w:rPr>
              <w:t>Assigned</w:t>
            </w:r>
          </w:p>
        </w:tc>
      </w:tr>
      <w:tr>
        <w:tc>
          <w:tcPr>
            <w:tcW w:type="dxa" w:w="3168"/>
            <w:vAlign w:val="center"/>
          </w:tcPr>
          <w:p>
            <w:r/>
            <w:r>
              <w:rPr>
                <w:rFonts w:ascii="Mendl Sans Dusk Regular" w:hAnsi="Mendl Sans Dusk Regular" w:eastAsia="Mendl Sans Dusk Regular" w:cs="Mendl Sans Dusk Regular"/>
                <w:b w:val="0"/>
                <w:color w:val="202723"/>
                <w:sz w:val="18"/>
              </w:rPr>
              <w:t>Author / Chief Editor</w:t>
            </w:r>
          </w:p>
        </w:tc>
        <w:tc>
          <w:tcPr>
            <w:tcW w:type="dxa" w:w="6912"/>
            <w:vAlign w:val="center"/>
          </w:tcPr>
          <w:p>
            <w:r/>
            <w:r>
              <w:rPr>
                <w:rFonts w:ascii="Mendl Sans Dusk Regular" w:hAnsi="Mendl Sans Dusk Regular" w:eastAsia="Mendl Sans Dusk Regular" w:cs="Mendl Sans Dusk Regular"/>
                <w:b w:val="0"/>
                <w:color w:val="202723"/>
                <w:sz w:val="18"/>
              </w:rPr>
              <w:t>Matt Ramsey</w:t>
            </w:r>
          </w:p>
        </w:tc>
      </w:tr>
      <w:tr>
        <w:tc>
          <w:tcPr>
            <w:tcW w:type="dxa" w:w="3168"/>
            <w:vAlign w:val="center"/>
          </w:tcPr>
          <w:p>
            <w:r/>
            <w:r>
              <w:rPr>
                <w:rFonts w:ascii="Mendl Sans Dusk Regular" w:hAnsi="Mendl Sans Dusk Regular" w:eastAsia="Mendl Sans Dusk Regular" w:cs="Mendl Sans Dusk Regular"/>
                <w:b w:val="0"/>
                <w:color w:val="202723"/>
                <w:sz w:val="18"/>
              </w:rPr>
              <w:t>Co-Editor</w:t>
            </w:r>
          </w:p>
        </w:tc>
        <w:tc>
          <w:tcPr>
            <w:tcW w:type="dxa" w:w="6912"/>
            <w:vAlign w:val="center"/>
          </w:tcPr>
          <w:p>
            <w:r/>
            <w:r>
              <w:rPr>
                <w:rFonts w:ascii="Mendl Sans Dusk Regular" w:hAnsi="Mendl Sans Dusk Regular" w:eastAsia="Mendl Sans Dusk Regular" w:cs="Mendl Sans Dusk Regular"/>
                <w:b w:val="0"/>
                <w:color w:val="202723"/>
                <w:sz w:val="18"/>
              </w:rPr>
              <w:t>Todd Shoeff</w:t>
            </w:r>
          </w:p>
        </w:tc>
      </w:tr>
      <w:tr>
        <w:tc>
          <w:tcPr>
            <w:tcW w:type="dxa" w:w="3168"/>
            <w:vAlign w:val="center"/>
          </w:tcPr>
          <w:p>
            <w:r/>
            <w:r>
              <w:rPr>
                <w:rFonts w:ascii="Mendl Sans Dusk Regular" w:hAnsi="Mendl Sans Dusk Regular" w:eastAsia="Mendl Sans Dusk Regular" w:cs="Mendl Sans Dusk Regular"/>
                <w:b w:val="0"/>
                <w:color w:val="202723"/>
                <w:sz w:val="18"/>
              </w:rPr>
              <w:t>Final Approver</w:t>
            </w:r>
          </w:p>
        </w:tc>
        <w:tc>
          <w:tcPr>
            <w:tcW w:type="dxa" w:w="6912"/>
            <w:vAlign w:val="center"/>
          </w:tcPr>
          <w:p>
            <w:r/>
            <w:r>
              <w:rPr>
                <w:rFonts w:ascii="Mendl Sans Dusk Regular" w:hAnsi="Mendl Sans Dusk Regular" w:eastAsia="Mendl Sans Dusk Regular" w:cs="Mendl Sans Dusk Regular"/>
                <w:b w:val="0"/>
                <w:color w:val="202723"/>
                <w:sz w:val="18"/>
              </w:rPr>
              <w:t>Jeremy Thamert</w:t>
            </w:r>
          </w:p>
        </w:tc>
      </w:tr>
      <w:tr>
        <w:tc>
          <w:tcPr>
            <w:tcW w:type="dxa" w:w="3168"/>
            <w:vAlign w:val="center"/>
          </w:tcPr>
          <w:p>
            <w:r/>
            <w:r>
              <w:rPr>
                <w:rFonts w:ascii="Mendl Sans Dusk Regular" w:hAnsi="Mendl Sans Dusk Regular" w:eastAsia="Mendl Sans Dusk Regular" w:cs="Mendl Sans Dusk Regular"/>
                <w:b w:val="0"/>
                <w:color w:val="202723"/>
                <w:sz w:val="18"/>
              </w:rPr>
              <w:t>Lifecycle</w:t>
            </w:r>
          </w:p>
        </w:tc>
        <w:tc>
          <w:tcPr>
            <w:tcW w:type="dxa" w:w="6912"/>
            <w:vAlign w:val="center"/>
          </w:tcPr>
          <w:p>
            <w:r/>
            <w:r>
              <w:rPr>
                <w:rFonts w:ascii="Mendl Sans Dusk Regular" w:hAnsi="Mendl Sans Dusk Regular" w:eastAsia="Mendl Sans Dusk Regular" w:cs="Mendl Sans Dusk Regular"/>
                <w:b w:val="0"/>
                <w:color w:val="202723"/>
                <w:sz w:val="18"/>
              </w:rPr>
              <w:t>Draft</w:t>
            </w:r>
          </w:p>
        </w:tc>
      </w:tr>
      <w:tr>
        <w:tc>
          <w:tcPr>
            <w:tcW w:type="dxa" w:w="3168"/>
            <w:vAlign w:val="center"/>
          </w:tcPr>
          <w:p>
            <w:r/>
            <w:r>
              <w:rPr>
                <w:rFonts w:ascii="Mendl Sans Dusk Regular" w:hAnsi="Mendl Sans Dusk Regular" w:eastAsia="Mendl Sans Dusk Regular" w:cs="Mendl Sans Dusk Regular"/>
                <w:b w:val="0"/>
                <w:color w:val="202723"/>
                <w:sz w:val="18"/>
              </w:rPr>
              <w:t>Effective Date</w:t>
            </w:r>
          </w:p>
        </w:tc>
        <w:tc>
          <w:tcPr>
            <w:tcW w:type="dxa" w:w="6912"/>
            <w:vAlign w:val="center"/>
          </w:tcPr>
          <w:p>
            <w:r/>
            <w:r>
              <w:rPr>
                <w:rFonts w:ascii="Mendl Sans Dusk Regular" w:hAnsi="Mendl Sans Dusk Regular" w:eastAsia="Mendl Sans Dusk Regular" w:cs="Mendl Sans Dusk Regular"/>
                <w:b w:val="0"/>
                <w:color w:val="202723"/>
                <w:sz w:val="18"/>
              </w:rPr>
              <w:t>Pending Approval</w:t>
            </w:r>
          </w:p>
        </w:tc>
      </w:tr>
    </w:tbl>
    <w:p>
      <w:pPr>
        <w:pStyle w:val="Heading1"/>
      </w:pPr>
      <w:r>
        <w:t>Purpose</w:t>
      </w:r>
    </w:p>
    <w:p>
      <w:r>
        <w:t>Establish the definitive command, editorial, revision, approval, system-boundary, and archival rules for the MH Ecosystem.</w:t>
      </w:r>
    </w:p>
    <w:p>
      <w:pPr>
        <w:pStyle w:val="Heading1"/>
      </w:pPr>
      <w:r>
        <w:t>1. Historical lineage</w:t>
      </w:r>
    </w:p>
    <w:p>
      <w:r>
        <w:t>The founder, Mike Holstien, issued the original manuals in 2011. Alex Linde owned the company and issued the 2019 Version 2 generation during 2019-2021. Mike Holstien resumed control in 2021 and hired Jeremy Thamert as General Manager in 2023. Jeremy Thamert purchased MHC in January 2025; Jeremy and Kim Thamert are the current owners, with Jeremy holding 51 percent to support Veteran-Owned status. Matt Ramsey is also a Navy veteran.</w:t>
      </w:r>
    </w:p>
    <w:p>
      <w:pPr>
        <w:pStyle w:val="Heading1"/>
      </w:pPr>
      <w:r>
        <w:t>2. Version baseline</w:t>
      </w:r>
    </w:p>
    <w:p>
      <w:r>
        <w:t>Previously existing Employee Handbook, MISH, TBT, and SDS documents use Version 3.0 during Draft and Review. All other rebuilt or newly created Ecosystem documents use Version 1.0. Movement from Draft to Review does not change the version. After approval, revisions become 1.1 or 3.1 for minor changes; major-number changes require formal future authorization.</w:t>
      </w:r>
    </w:p>
    <w:p>
      <w:pPr>
        <w:pStyle w:val="Heading1"/>
      </w:pPr>
      <w:r>
        <w:t>3. Editorial and approval gate</w:t>
      </w:r>
    </w:p>
    <w:p>
      <w:r>
        <w:t>Every controlled document identifies Matt Ramsey as Author and Chief Editor, Todd Shoeff as Co-Editor, and Jeremy Thamert as Final Approver. Logical subject-matter reviewers are added by domain. CHENG and CHNAV complete editorial review; CEO determines that the Ecosystem may move from Draft to Review. Final approval uses both signature and secure dashboard evidence.</w:t>
      </w:r>
    </w:p>
    <w:p>
      <w:pPr>
        <w:pStyle w:val="Heading1"/>
      </w:pPr>
      <w:r>
        <w:t>4. Executive command</w:t>
      </w:r>
    </w:p>
    <w:p>
      <w:r>
        <w:t>CEO holds final enterprise authority. COO directs CHENG and CHNAV. CHENG means Chief Engineer and controls Safety, Marketing, stakeholder-satisfaction oversight during construction, brand control, mhc-gc.com, and associated digital assets. CHNAV means Chief Navigation Officer and controls the separate Sales and Estimation Departments and most Preconstruction workflows.</w:t>
      </w:r>
    </w:p>
    <w:p>
      <w:pPr>
        <w:pStyle w:val="Heading1"/>
      </w:pPr>
      <w:r>
        <w:t>5. Production release gate</w:t>
      </w:r>
    </w:p>
    <w:tbl>
      <w:tblPr>
        <w:tblW w:type="auto" w:w="0"/>
        <w:tblLayout w:type="fixed"/>
        <w:tblLook w:firstColumn="1" w:firstRow="1" w:lastColumn="0" w:lastRow="0" w:noHBand="0" w:noVBand="1" w:val="04A0"/>
      </w:tblPr>
      <w:tblGrid>
        <w:gridCol w:w="4939"/>
        <w:gridCol w:w="4939"/>
      </w:tblGrid>
      <w:tr>
        <w:tc>
          <w:tcPr>
            <w:tcW w:type="dxa" w:w="2304"/>
            <w:vAlign w:val="center"/>
            <w:shd w:fill="386851"/>
          </w:tcPr>
          <w:p>
            <w:r/>
            <w:r>
              <w:rPr>
                <w:rFonts w:ascii="Mendl Sans Dusk Medium" w:hAnsi="Mendl Sans Dusk Medium" w:eastAsia="Mendl Sans Dusk Medium" w:cs="Mendl Sans Dusk Medium"/>
                <w:b/>
                <w:color w:val="FFFFFF"/>
                <w:sz w:val="18"/>
              </w:rPr>
              <w:t>Gate</w:t>
            </w:r>
          </w:p>
        </w:tc>
        <w:tc>
          <w:tcPr>
            <w:tcW w:type="dxa" w:w="7776"/>
            <w:vAlign w:val="center"/>
            <w:shd w:fill="386851"/>
          </w:tcPr>
          <w:p>
            <w:r/>
            <w:r>
              <w:rPr>
                <w:rFonts w:ascii="Mendl Sans Dusk Medium" w:hAnsi="Mendl Sans Dusk Medium" w:eastAsia="Mendl Sans Dusk Medium" w:cs="Mendl Sans Dusk Medium"/>
                <w:b/>
                <w:color w:val="FFFFFF"/>
                <w:sz w:val="18"/>
              </w:rPr>
              <w:t>Accountable control</w:t>
            </w:r>
          </w:p>
        </w:tc>
      </w:tr>
      <w:tr>
        <w:tc>
          <w:tcPr>
            <w:tcW w:type="dxa" w:w="2304"/>
            <w:vAlign w:val="center"/>
          </w:tcPr>
          <w:p>
            <w:r/>
            <w:r>
              <w:rPr>
                <w:rFonts w:ascii="Mendl Sans Dusk Regular" w:hAnsi="Mendl Sans Dusk Regular" w:eastAsia="Mendl Sans Dusk Regular" w:cs="Mendl Sans Dusk Regular"/>
                <w:b w:val="0"/>
                <w:color w:val="202723"/>
                <w:sz w:val="18"/>
              </w:rPr>
              <w:t>CHENG</w:t>
            </w:r>
          </w:p>
        </w:tc>
        <w:tc>
          <w:tcPr>
            <w:tcW w:type="dxa" w:w="7776"/>
            <w:vAlign w:val="center"/>
          </w:tcPr>
          <w:p>
            <w:r/>
            <w:r>
              <w:rPr>
                <w:rFonts w:ascii="Mendl Sans Dusk Regular" w:hAnsi="Mendl Sans Dusk Regular" w:eastAsia="Mendl Sans Dusk Regular" w:cs="Mendl Sans Dusk Regular"/>
                <w:b w:val="0"/>
                <w:color w:val="202723"/>
                <w:sz w:val="18"/>
              </w:rPr>
              <w:t>Brand, website, safety, stakeholder, and public-claim impacts</w:t>
            </w:r>
          </w:p>
        </w:tc>
      </w:tr>
      <w:tr>
        <w:tc>
          <w:tcPr>
            <w:tcW w:type="dxa" w:w="2304"/>
            <w:vAlign w:val="center"/>
          </w:tcPr>
          <w:p>
            <w:r/>
            <w:r>
              <w:rPr>
                <w:rFonts w:ascii="Mendl Sans Dusk Regular" w:hAnsi="Mendl Sans Dusk Regular" w:eastAsia="Mendl Sans Dusk Regular" w:cs="Mendl Sans Dusk Regular"/>
                <w:b w:val="0"/>
                <w:color w:val="202723"/>
                <w:sz w:val="18"/>
              </w:rPr>
              <w:t>CHNAV</w:t>
            </w:r>
          </w:p>
        </w:tc>
        <w:tc>
          <w:tcPr>
            <w:tcW w:type="dxa" w:w="7776"/>
            <w:vAlign w:val="center"/>
          </w:tcPr>
          <w:p>
            <w:r/>
            <w:r>
              <w:rPr>
                <w:rFonts w:ascii="Mendl Sans Dusk Regular" w:hAnsi="Mendl Sans Dusk Regular" w:eastAsia="Mendl Sans Dusk Regular" w:cs="Mendl Sans Dusk Regular"/>
                <w:b w:val="0"/>
                <w:color w:val="202723"/>
                <w:sz w:val="18"/>
              </w:rPr>
              <w:t>Sales, Estimating, Preconstruction, workflow, and usability</w:t>
            </w:r>
          </w:p>
        </w:tc>
      </w:tr>
      <w:tr>
        <w:tc>
          <w:tcPr>
            <w:tcW w:type="dxa" w:w="2304"/>
            <w:vAlign w:val="center"/>
          </w:tcPr>
          <w:p>
            <w:r/>
            <w:r>
              <w:rPr>
                <w:rFonts w:ascii="Mendl Sans Dusk Regular" w:hAnsi="Mendl Sans Dusk Regular" w:eastAsia="Mendl Sans Dusk Regular" w:cs="Mendl Sans Dusk Regular"/>
                <w:b w:val="0"/>
                <w:color w:val="202723"/>
                <w:sz w:val="18"/>
              </w:rPr>
              <w:t>IT Specialist</w:t>
            </w:r>
          </w:p>
        </w:tc>
        <w:tc>
          <w:tcPr>
            <w:tcW w:type="dxa" w:w="7776"/>
            <w:vAlign w:val="center"/>
          </w:tcPr>
          <w:p>
            <w:r/>
            <w:r>
              <w:rPr>
                <w:rFonts w:ascii="Mendl Sans Dusk Regular" w:hAnsi="Mendl Sans Dusk Regular" w:eastAsia="Mendl Sans Dusk Regular" w:cs="Mendl Sans Dusk Regular"/>
                <w:b w:val="0"/>
                <w:color w:val="202723"/>
                <w:sz w:val="18"/>
              </w:rPr>
              <w:t>Security, integrations, backup, testing, deployment, and rollback</w:t>
            </w:r>
          </w:p>
        </w:tc>
      </w:tr>
      <w:tr>
        <w:tc>
          <w:tcPr>
            <w:tcW w:type="dxa" w:w="2304"/>
            <w:vAlign w:val="center"/>
          </w:tcPr>
          <w:p>
            <w:r/>
            <w:r>
              <w:rPr>
                <w:rFonts w:ascii="Mendl Sans Dusk Regular" w:hAnsi="Mendl Sans Dusk Regular" w:eastAsia="Mendl Sans Dusk Regular" w:cs="Mendl Sans Dusk Regular"/>
                <w:b w:val="0"/>
                <w:color w:val="202723"/>
                <w:sz w:val="18"/>
              </w:rPr>
              <w:t>COO</w:t>
            </w:r>
          </w:p>
        </w:tc>
        <w:tc>
          <w:tcPr>
            <w:tcW w:type="dxa" w:w="7776"/>
            <w:vAlign w:val="center"/>
          </w:tcPr>
          <w:p>
            <w:r/>
            <w:r>
              <w:rPr>
                <w:rFonts w:ascii="Mendl Sans Dusk Regular" w:hAnsi="Mendl Sans Dusk Regular" w:eastAsia="Mendl Sans Dusk Regular" w:cs="Mendl Sans Dusk Regular"/>
                <w:b w:val="0"/>
                <w:color w:val="202723"/>
                <w:sz w:val="18"/>
              </w:rPr>
              <w:t>Final production approval</w:t>
            </w:r>
          </w:p>
        </w:tc>
      </w:tr>
      <w:tr>
        <w:tc>
          <w:tcPr>
            <w:tcW w:type="dxa" w:w="2304"/>
            <w:vAlign w:val="center"/>
          </w:tcPr>
          <w:p>
            <w:r/>
            <w:r>
              <w:rPr>
                <w:rFonts w:ascii="Mendl Sans Dusk Regular" w:hAnsi="Mendl Sans Dusk Regular" w:eastAsia="Mendl Sans Dusk Regular" w:cs="Mendl Sans Dusk Regular"/>
                <w:b w:val="0"/>
                <w:color w:val="202723"/>
                <w:sz w:val="18"/>
              </w:rPr>
              <w:t>CEO</w:t>
            </w:r>
          </w:p>
        </w:tc>
        <w:tc>
          <w:tcPr>
            <w:tcW w:type="dxa" w:w="7776"/>
            <w:vAlign w:val="center"/>
          </w:tcPr>
          <w:p>
            <w:r/>
            <w:r>
              <w:rPr>
                <w:rFonts w:ascii="Mendl Sans Dusk Regular" w:hAnsi="Mendl Sans Dusk Regular" w:eastAsia="Mendl Sans Dusk Regular" w:cs="Mendl Sans Dusk Regular"/>
                <w:b w:val="0"/>
                <w:color w:val="202723"/>
                <w:sz w:val="18"/>
              </w:rPr>
              <w:t>Material policy, financial, public, enterprise-risk, and unresolved objections</w:t>
            </w:r>
          </w:p>
        </w:tc>
      </w:tr>
    </w:tbl>
    <w:p>
      <w:pPr>
        <w:pStyle w:val="Heading1"/>
      </w:pPr>
      <w:r>
        <w:t>6. Records</w:t>
      </w:r>
    </w:p>
    <w:p>
      <w:r>
        <w:t>Audit records remain active in dashboards for one year and are then archived permanently on the in-house server. Supervisors may not delete controlled records; corrections create a traceable entry. Safety, personnel, CDL, financial, incident, insurance, title, maintenance, and disposition records follow longer governing retention schedules.</w:t>
      </w:r>
    </w:p>
    <w:sectPr w:rsidR="00FC693F" w:rsidRPr="0006063C" w:rsidSect="00034616">
      <w:headerReference w:type="default" r:id="rId9"/>
      <w:headerReference w:type="first" r:id="rId10"/>
      <w:footerReference w:type="default" r:id="rId11"/>
      <w:footerReference w:type="first" r:id="rId12"/>
      <w:pgSz w:w="12240" w:h="15840"/>
      <w:pgMar w:top="1123" w:right="1181" w:bottom="1037" w:left="1181"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jc w:val="right"/>
    </w:pPr>
    <w:r>
      <w:rPr>
        <w:rFonts w:ascii="Mendl Sans Dusk Regular" w:hAnsi="Mendl Sans Dusk Regular" w:eastAsia="Mendl Sans Dusk Regular" w:cs="Mendl Sans Dusk Regular"/>
        <w:color w:val="BD9264"/>
        <w:sz w:val="14"/>
      </w:rPr>
      <w:t>Controlled MH Ecosystem | Draft | Page 1</w:t>
    </w:r>
    <w:r>
      <w:rPr>
        <w:rFonts w:ascii="Mendl Sans Dusk Regular" w:hAnsi="Mendl Sans Dusk Regular" w:eastAsia="Mendl Sans Dusk Regular" w:cs="Mendl Sans Dusk Regular"/>
        <w:color w:val="BD9264"/>
        <w:sz w:val="14"/>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endl Sans Dusk Regular" w:hAnsi="Mendl Sans Dusk Regular" w:eastAsia="Mendl Sans Dusk Regular" w:cs="Mendl Sans Dusk Regular"/>
        <w:color w:val="BD9264"/>
        <w:sz w:val="14"/>
      </w:rPr>
      <w:t xml:space="preserve">Controlled MH Ecosystem | Page </w:t>
    </w:r>
    <w:r>
      <w:rPr>
        <w:rFonts w:ascii="Mendl Sans Dusk Regular" w:hAnsi="Mendl Sans Dusk Regular" w:eastAsia="Mendl Sans Dusk Regular" w:cs="Mendl Sans Dusk Regular"/>
        <w:color w:val="BD9264"/>
        <w:sz w:val="1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widowControl/>
      <w:pBdr>
        <w:bottom w:val="single" w:sz="6" w:space="7" w:color="BD9264"/>
      </w:pBdr>
    </w:pPr>
    <w:r>
      <w:rPr>
        <w:rFonts w:ascii="Mendl Sans Dusk Regular" w:hAnsi="Mendl Sans Dusk Regular" w:eastAsia="Mendl Sans Dusk Regular" w:cs="Mendl Sans Dusk Regular"/>
      </w:rPr>
      <w:drawing>
        <wp:inline xmlns:a="http://schemas.openxmlformats.org/drawingml/2006/main" xmlns:pic="http://schemas.openxmlformats.org/drawingml/2006/picture">
          <wp:extent cx="310896" cy="177173"/>
          <wp:docPr id="1" name="Picture 1"/>
          <wp:cNvGraphicFramePr>
            <a:graphicFrameLocks noChangeAspect="1"/>
          </wp:cNvGraphicFramePr>
          <a:graphic>
            <a:graphicData uri="http://schemas.openxmlformats.org/drawingml/2006/picture">
              <pic:pic>
                <pic:nvPicPr>
                  <pic:cNvPr id="0" name="mh-logo-from-bible.png"/>
                  <pic:cNvPicPr/>
                </pic:nvPicPr>
                <pic:blipFill>
                  <a:blip r:embed="rId1"/>
                  <a:stretch>
                    <a:fillRect/>
                  </a:stretch>
                </pic:blipFill>
                <pic:spPr>
                  <a:xfrm>
                    <a:off x="0" y="0"/>
                    <a:ext cx="310896" cy="177173"/>
                  </a:xfrm>
                  <a:prstGeom prst="rect"/>
                </pic:spPr>
              </pic:pic>
            </a:graphicData>
          </a:graphic>
        </wp:inline>
      </w:drawing>
    </w:r>
    <w:r>
      <w:rPr>
        <w:rFonts w:ascii="Mendl Sans Dusk Regular" w:hAnsi="Mendl Sans Dusk Regular" w:eastAsia="Mendl Sans Dusk Regular" w:cs="Mendl Sans Dusk Regular"/>
        <w:b/>
        <w:color w:val="386851"/>
        <w:sz w:val="15"/>
      </w:rPr>
      <w:t xml:space="preserve">  MH CONSTRUCTION | ENTERPRISE MANAGEMENT SYSTEM | MHC-GC.COM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Mendl Sans Dusk Regular" w:hAnsi="Mendl Sans Dusk Regular"/>
      <w:color w:val="2027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Mendl Sans Dusk Bold" w:hAnsi="Mendl Sans Dusk Bold"/>
      <w:b/>
      <w:bCs/>
      <w:color w:val="386851"/>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endl Sans Dusk Medium" w:hAnsi="Mendl Sans Dusk Medium"/>
      <w:b/>
      <w:bCs/>
      <w:color w:val="628F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Mendl Sans Dusk Medium" w:hAnsi="Mendl Sans Dusk Medium"/>
      <w:b/>
      <w:bCs/>
      <w:color w:val="1E392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Mendl Sans Dusk Bold" w:hAnsi="Mendl Sans Dusk Bold"/>
      <w:b/>
      <w:color w:val="38685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20"/>
    </w:pPr>
    <w:rPr>
      <w:rFonts w:asciiTheme="majorHAnsi" w:eastAsiaTheme="majorEastAsia" w:hAnsiTheme="majorHAnsi" w:cstheme="majorBidi" w:ascii="Mendl Sans Dusk Medium" w:hAnsi="Mendl Sans Dusk Medium"/>
      <w:b/>
      <w:i/>
      <w:iCs/>
      <w:color w:val="628F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Ramsey</dc:creator>
  <cp:keywords/>
  <dc:description>MH Ecosystem controlled Draft. Final approval authority: Jeremy Thamert.</dc:description>
  <cp:lastModifiedBy>Todd Shoeff</cp:lastModifiedBy>
  <cp:revision>1</cp:revision>
  <dcterms:created xsi:type="dcterms:W3CDTF">2013-12-23T23:15:00Z</dcterms:created>
  <dcterms:modified xsi:type="dcterms:W3CDTF">2013-12-23T23:15:00Z</dcterms:modified>
  <cp:category/>
</cp:coreProperties>
</file>