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Workforce Development Matrix</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CORE DOCTRINE\nControlled file: mh-workforce-development-matrix-v1-0-draft.docx\nLifecycle: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Workforce Training and Competency Matrix</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TRN-001 Version: 1.0 Owner: HR Lead / Safety Director Approver: President/CEO - Acting COO Status: Draft - functional, technical and field approval required Classification: Internal - controlled System of record: HR and training repository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workforce training and competency matrix.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Role competency, course and credential requirements</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Credential expiration, verification and assignment restrictions</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Performance development and recurring training</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Assign mandatory training by role and jurisdiction.</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Verify required cards and qualifications before assignment to controlled work.</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Track expiration, refresher date and supporting credential evidence.</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Training matrix</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Operator certification log</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Toolbox talk attendance record</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67F3895-76D9-4BB3-A19E-E89E9F5C26C9}"/>
</file>

<file path=customXml/itemProps3.xml><?xml version="1.0" encoding="utf-8"?>
<ds:datastoreItem xmlns:ds="http://schemas.openxmlformats.org/officeDocument/2006/customXml" ds:itemID="{7F2D2A68-2B2E-4E03-8AA5-0DB1AAFD1F1D}"/>
</file>

<file path=customXml/itemProps4.xml><?xml version="1.0" encoding="utf-8"?>
<ds:datastoreItem xmlns:ds="http://schemas.openxmlformats.org/officeDocument/2006/customXml" ds:itemID="{EF5AE119-42BD-44BF-AFFF-1CCC10F793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Training Competency Matrix</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