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878"/>
      </w:tblGrid>
      <w:tr>
        <w:trPr>
          <w:trHeight w:val="12200" w:hRule="atLeast"/>
        </w:trPr>
        <w:tc>
          <w:tcPr>
            <w:tcW w:type="dxa" w:w="9878"/>
            <w:shd w:fill="0F1412"/>
            <w:vAlign w:val="center"/>
          </w:tcPr>
          <w:p>
            <w:pPr>
              <w:spacing w:after="840"/>
              <w:jc w:val="center"/>
            </w:pPr>
            <w:r>
              <w:drawing>
                <wp:inline xmlns:a="http://schemas.openxmlformats.org/drawingml/2006/main" xmlns:pic="http://schemas.openxmlformats.org/drawingml/2006/picture">
                  <wp:extent cx="2148840" cy="1224580"/>
                  <wp:docPr id="1" name="Picture 1"/>
                  <wp:cNvGraphicFramePr>
                    <a:graphicFrameLocks noChangeAspect="1"/>
                  </wp:cNvGraphicFramePr>
                  <a:graphic>
                    <a:graphicData uri="http://schemas.openxmlformats.org/drawingml/2006/picture">
                      <pic:pic>
                        <pic:nvPicPr>
                          <pic:cNvPr id="0" name="mh-logo-from-bible.png"/>
                          <pic:cNvPicPr/>
                        </pic:nvPicPr>
                        <pic:blipFill>
                          <a:blip r:embed="rId13"/>
                          <a:stretch>
                            <a:fillRect/>
                          </a:stretch>
                        </pic:blipFill>
                        <pic:spPr>
                          <a:xfrm>
                            <a:off x="0" y="0"/>
                            <a:ext cx="2148840" cy="1224580"/>
                          </a:xfrm>
                          <a:prstGeom prst="rect"/>
                        </pic:spPr>
                      </pic:pic>
                    </a:graphicData>
                  </a:graphic>
                </wp:inline>
              </w:drawing>
            </w:r>
          </w:p>
          <w:p>
            <w:pPr>
              <w:spacing w:after="320"/>
              <w:jc w:val="left"/>
            </w:pPr>
            <w:r>
              <w:rPr>
                <w:rFonts w:ascii="Mendl Sans Dusk Medium" w:hAnsi="Mendl Sans Dusk Medium" w:eastAsia="Mendl Sans Dusk Medium" w:cs="Mendl Sans Dusk Medium"/>
                <w:b/>
                <w:color w:val="BD9264"/>
                <w:sz w:val="18"/>
              </w:rPr>
              <w:t>CONTROLLED ENTERPRISE DOCUMENT</w:t>
            </w:r>
          </w:p>
          <w:p>
            <w:pPr>
              <w:spacing w:after="220"/>
              <w:jc w:val="left"/>
            </w:pPr>
            <w:r>
              <w:rPr>
                <w:rFonts w:ascii="Mendl Sans Dusk Bold" w:hAnsi="Mendl Sans Dusk Bold" w:eastAsia="Mendl Sans Dusk Bold" w:cs="Mendl Sans Dusk Bold"/>
                <w:b/>
                <w:color w:val="FFFFFF"/>
                <w:sz w:val="50"/>
              </w:rPr>
              <w:t>Branding Terminology Library</w:t>
            </w:r>
          </w:p>
          <w:p>
            <w:pPr>
              <w:spacing w:after="320"/>
              <w:jc w:val="left"/>
            </w:pPr>
            <w:r>
              <w:rPr>
                <w:rFonts w:ascii="Mendl Sans Dusk Medium" w:hAnsi="Mendl Sans Dusk Medium" w:eastAsia="Mendl Sans Dusk Medium" w:cs="Mendl Sans Dusk Medium"/>
                <w:b/>
                <w:color w:val="628F79"/>
                <w:sz w:val="26"/>
              </w:rPr>
              <w:t>MH Construction Enterprise Management System</w:t>
            </w:r>
          </w:p>
          <w:p>
            <w:pPr>
              <w:spacing w:after="240"/>
              <w:jc w:val="left"/>
            </w:pPr>
            <w:r>
              <w:rPr>
                <w:rFonts w:ascii="Mendl Sans Dusk Regular" w:hAnsi="Mendl Sans Dusk Regular" w:eastAsia="Mendl Sans Dusk Regular" w:cs="Mendl Sans Dusk Regular"/>
                <w:color w:val="FFFFFF"/>
                <w:sz w:val="18"/>
              </w:rPr>
              <w:t>Document family: STRATEGY AND BUSINESS DEVELOPMENT\nControlled file: mh-branding-terminology-library-v1-0-draft.docx\nLifecycle: Draft</w:t>
            </w:r>
          </w:p>
          <w:p>
            <w:pPr>
              <w:spacing w:before="120"/>
              <w:pBdr>
                <w:bottom w:val="single" w:sz="6" w:space="7" w:color="BD9264"/>
              </w:pBdr>
            </w:pPr>
            <w:r>
              <w:rPr>
                <w:rFonts w:ascii="Mendl Sans Dusk Medium" w:hAnsi="Mendl Sans Dusk Medium" w:eastAsia="Mendl Sans Dusk Medium" w:cs="Mendl Sans Dusk Medium"/>
                <w:b/>
                <w:color w:val="FFFFFF"/>
                <w:sz w:val="18"/>
              </w:rPr>
              <w:t>Use only after required functional, technical, field-usability, and approval gates are complete.</w:t>
            </w:r>
          </w:p>
        </w:tc>
      </w:tr>
    </w:tbl>
    <w:p>
      <w:r>
        <w:br w:type="page"/>
      </w:r>
    </w:p>
    <w:p>
      <w:pPr/>
      <w:r>
        <w:t>Control: Version 1.0 | Status Draft | Author and Chief Editor: Matt Ramsey | Co-Editor: Todd Shoeff | Final Approver: Jeremy Thamert</w:t>
      </w:r>
    </w:p>
    <w:p>
      <w:pPr>
        <w:pStyle w:val="Title"/>
      </w:pPr>
      <w:r>
        <w:t>MH Branding Terminology Library</w:t>
      </w:r>
    </w:p>
    <w:p>
      <w:pPr>
        <w:pStyle w:val="Subtitle"/>
      </w:pPr>
      <w:r>
        <w:t>Version 1.0 | Draft | Website and Marketing Language Control</w:t>
      </w:r>
    </w:p>
    <w:tbl>
      <w:tblPr>
        <w:tblW w:type="auto" w:w="0"/>
        <w:tblLayout w:type="fixed"/>
        <w:tblLook w:firstColumn="1" w:firstRow="1" w:lastColumn="0" w:lastRow="0" w:noHBand="0" w:noVBand="1" w:val="04A0"/>
      </w:tblPr>
      <w:tblGrid>
        <w:gridCol w:w="4939"/>
        <w:gridCol w:w="4939"/>
      </w:tblGrid>
      <w:tr>
        <w:tc>
          <w:tcPr>
            <w:tcW w:type="dxa" w:w="3168"/>
            <w:vAlign w:val="center"/>
            <w:shd w:fill="386851"/>
          </w:tcPr>
          <w:p>
            <w:r/>
            <w:r>
              <w:rPr>
                <w:rFonts w:ascii="Mendl Sans Dusk Medium" w:hAnsi="Mendl Sans Dusk Medium" w:eastAsia="Mendl Sans Dusk Medium" w:cs="Mendl Sans Dusk Medium"/>
                <w:b/>
                <w:color w:val="FFFFFF"/>
                <w:sz w:val="17"/>
              </w:rPr>
              <w:t>Control Role</w:t>
            </w:r>
          </w:p>
        </w:tc>
        <w:tc>
          <w:tcPr>
            <w:tcW w:type="dxa" w:w="6912"/>
            <w:vAlign w:val="center"/>
            <w:shd w:fill="386851"/>
          </w:tcPr>
          <w:p>
            <w:r/>
            <w:r>
              <w:rPr>
                <w:rFonts w:ascii="Mendl Sans Dusk Medium" w:hAnsi="Mendl Sans Dusk Medium" w:eastAsia="Mendl Sans Dusk Medium" w:cs="Mendl Sans Dusk Medium"/>
                <w:b/>
                <w:color w:val="FFFFFF"/>
                <w:sz w:val="17"/>
              </w:rPr>
              <w:t>Assigned</w:t>
            </w:r>
          </w:p>
        </w:tc>
      </w:tr>
      <w:tr>
        <w:tc>
          <w:tcPr>
            <w:tcW w:type="dxa" w:w="3168"/>
            <w:vAlign w:val="center"/>
          </w:tcPr>
          <w:p>
            <w:r/>
            <w:r>
              <w:rPr>
                <w:rFonts w:ascii="Mendl Sans Dusk Regular" w:hAnsi="Mendl Sans Dusk Regular" w:eastAsia="Mendl Sans Dusk Regular" w:cs="Mendl Sans Dusk Regular"/>
                <w:b w:val="0"/>
                <w:color w:val="202723"/>
                <w:sz w:val="17"/>
              </w:rPr>
              <w:t>Author / Chief Editor</w:t>
            </w:r>
          </w:p>
        </w:tc>
        <w:tc>
          <w:tcPr>
            <w:tcW w:type="dxa" w:w="6912"/>
            <w:vAlign w:val="center"/>
          </w:tcPr>
          <w:p>
            <w:r/>
            <w:r>
              <w:rPr>
                <w:rFonts w:ascii="Mendl Sans Dusk Regular" w:hAnsi="Mendl Sans Dusk Regular" w:eastAsia="Mendl Sans Dusk Regular" w:cs="Mendl Sans Dusk Regular"/>
                <w:b w:val="0"/>
                <w:color w:val="202723"/>
                <w:sz w:val="17"/>
              </w:rPr>
              <w:t>Matt Ramsey</w:t>
            </w:r>
          </w:p>
        </w:tc>
      </w:tr>
      <w:tr>
        <w:tc>
          <w:tcPr>
            <w:tcW w:type="dxa" w:w="3168"/>
            <w:vAlign w:val="center"/>
          </w:tcPr>
          <w:p>
            <w:r/>
            <w:r>
              <w:rPr>
                <w:rFonts w:ascii="Mendl Sans Dusk Regular" w:hAnsi="Mendl Sans Dusk Regular" w:eastAsia="Mendl Sans Dusk Regular" w:cs="Mendl Sans Dusk Regular"/>
                <w:b w:val="0"/>
                <w:color w:val="202723"/>
                <w:sz w:val="17"/>
              </w:rPr>
              <w:t>Co-Editor</w:t>
            </w:r>
          </w:p>
        </w:tc>
        <w:tc>
          <w:tcPr>
            <w:tcW w:type="dxa" w:w="6912"/>
            <w:vAlign w:val="center"/>
          </w:tcPr>
          <w:p>
            <w:r/>
            <w:r>
              <w:rPr>
                <w:rFonts w:ascii="Mendl Sans Dusk Regular" w:hAnsi="Mendl Sans Dusk Regular" w:eastAsia="Mendl Sans Dusk Regular" w:cs="Mendl Sans Dusk Regular"/>
                <w:b w:val="0"/>
                <w:color w:val="202723"/>
                <w:sz w:val="17"/>
              </w:rPr>
              <w:t>Todd Shoeff</w:t>
            </w:r>
          </w:p>
        </w:tc>
      </w:tr>
      <w:tr>
        <w:tc>
          <w:tcPr>
            <w:tcW w:type="dxa" w:w="3168"/>
            <w:vAlign w:val="center"/>
          </w:tcPr>
          <w:p>
            <w:r/>
            <w:r>
              <w:rPr>
                <w:rFonts w:ascii="Mendl Sans Dusk Regular" w:hAnsi="Mendl Sans Dusk Regular" w:eastAsia="Mendl Sans Dusk Regular" w:cs="Mendl Sans Dusk Regular"/>
                <w:b w:val="0"/>
                <w:color w:val="202723"/>
                <w:sz w:val="17"/>
              </w:rPr>
              <w:t>Brand Owner / CHENG</w:t>
            </w:r>
          </w:p>
        </w:tc>
        <w:tc>
          <w:tcPr>
            <w:tcW w:type="dxa" w:w="6912"/>
            <w:vAlign w:val="center"/>
          </w:tcPr>
          <w:p>
            <w:r/>
            <w:r>
              <w:rPr>
                <w:rFonts w:ascii="Mendl Sans Dusk Regular" w:hAnsi="Mendl Sans Dusk Regular" w:eastAsia="Mendl Sans Dusk Regular" w:cs="Mendl Sans Dusk Regular"/>
                <w:b w:val="0"/>
                <w:color w:val="202723"/>
                <w:sz w:val="17"/>
              </w:rPr>
              <w:t>Chief Engineer</w:t>
            </w:r>
          </w:p>
        </w:tc>
      </w:tr>
      <w:tr>
        <w:tc>
          <w:tcPr>
            <w:tcW w:type="dxa" w:w="3168"/>
            <w:vAlign w:val="center"/>
          </w:tcPr>
          <w:p>
            <w:r/>
            <w:r>
              <w:rPr>
                <w:rFonts w:ascii="Mendl Sans Dusk Regular" w:hAnsi="Mendl Sans Dusk Regular" w:eastAsia="Mendl Sans Dusk Regular" w:cs="Mendl Sans Dusk Regular"/>
                <w:b w:val="0"/>
                <w:color w:val="202723"/>
                <w:sz w:val="17"/>
              </w:rPr>
              <w:t>Final Approver</w:t>
            </w:r>
          </w:p>
        </w:tc>
        <w:tc>
          <w:tcPr>
            <w:tcW w:type="dxa" w:w="6912"/>
            <w:vAlign w:val="center"/>
          </w:tcPr>
          <w:p>
            <w:r/>
            <w:r>
              <w:rPr>
                <w:rFonts w:ascii="Mendl Sans Dusk Regular" w:hAnsi="Mendl Sans Dusk Regular" w:eastAsia="Mendl Sans Dusk Regular" w:cs="Mendl Sans Dusk Regular"/>
                <w:b w:val="0"/>
                <w:color w:val="202723"/>
                <w:sz w:val="17"/>
              </w:rPr>
              <w:t>Jeremy Thamert</w:t>
            </w:r>
          </w:p>
        </w:tc>
      </w:tr>
      <w:tr>
        <w:tc>
          <w:tcPr>
            <w:tcW w:type="dxa" w:w="3168"/>
            <w:vAlign w:val="center"/>
          </w:tcPr>
          <w:p>
            <w:r/>
            <w:r>
              <w:rPr>
                <w:rFonts w:ascii="Mendl Sans Dusk Regular" w:hAnsi="Mendl Sans Dusk Regular" w:eastAsia="Mendl Sans Dusk Regular" w:cs="Mendl Sans Dusk Regular"/>
                <w:b w:val="0"/>
                <w:color w:val="202723"/>
                <w:sz w:val="17"/>
              </w:rPr>
              <w:t>Lifecycle</w:t>
            </w:r>
          </w:p>
        </w:tc>
        <w:tc>
          <w:tcPr>
            <w:tcW w:type="dxa" w:w="6912"/>
            <w:vAlign w:val="center"/>
          </w:tcPr>
          <w:p>
            <w:r/>
            <w:r>
              <w:rPr>
                <w:rFonts w:ascii="Mendl Sans Dusk Regular" w:hAnsi="Mendl Sans Dusk Regular" w:eastAsia="Mendl Sans Dusk Regular" w:cs="Mendl Sans Dusk Regular"/>
                <w:b w:val="0"/>
                <w:color w:val="202723"/>
                <w:sz w:val="17"/>
              </w:rPr>
              <w:t>Draft</w:t>
            </w:r>
          </w:p>
        </w:tc>
      </w:tr>
      <w:tr>
        <w:tc>
          <w:tcPr>
            <w:tcW w:type="dxa" w:w="3168"/>
            <w:vAlign w:val="center"/>
          </w:tcPr>
          <w:p>
            <w:r/>
            <w:r>
              <w:rPr>
                <w:rFonts w:ascii="Mendl Sans Dusk Regular" w:hAnsi="Mendl Sans Dusk Regular" w:eastAsia="Mendl Sans Dusk Regular" w:cs="Mendl Sans Dusk Regular"/>
                <w:b w:val="0"/>
                <w:color w:val="202723"/>
                <w:sz w:val="17"/>
              </w:rPr>
              <w:t>Effective Date</w:t>
            </w:r>
          </w:p>
        </w:tc>
        <w:tc>
          <w:tcPr>
            <w:tcW w:type="dxa" w:w="6912"/>
            <w:vAlign w:val="center"/>
          </w:tcPr>
          <w:p>
            <w:r/>
            <w:r>
              <w:rPr>
                <w:rFonts w:ascii="Mendl Sans Dusk Regular" w:hAnsi="Mendl Sans Dusk Regular" w:eastAsia="Mendl Sans Dusk Regular" w:cs="Mendl Sans Dusk Regular"/>
                <w:b w:val="0"/>
                <w:color w:val="202723"/>
                <w:sz w:val="17"/>
              </w:rPr>
              <w:t>Pending Approval</w:t>
            </w:r>
          </w:p>
        </w:tc>
      </w:tr>
    </w:tbl>
    <w:p>
      <w:pPr>
        <w:pStyle w:val="Heading1"/>
      </w:pPr>
      <w:r>
        <w:t>1. Mission and Use</w:t>
      </w:r>
    </w:p>
    <w:p>
      <w:r>
        <w:t>This library controls MH Construction's hybrid military-construction language for mhc-gc.com, Marketing Flight, BidPilot proposal support, social media, email campaigns, events, recruitment, public-sector messaging, and branded collateral. It provides a consistent vocabulary without replacing legal, contractual, regulatory, safety, or technical terminology.</w:t>
      </w:r>
    </w:p>
    <w:p>
      <w:pPr>
        <w:pStyle w:val="Heading2"/>
      </w:pPr>
      <w:r>
        <w:t>PUBLICATION CONTROL</w:t>
      </w:r>
    </w:p>
    <w:p>
      <w:r>
        <w:t>Every proposed 'Word From the General' quotation in this library is draft copy written for Jeremy Thamert's review. No draft quotation may be attributed to Jeremy or published as his words until Jeremy approves the exact language. Approved text must be stored in Marketing Flight with the approval date and page assignment.</w:t>
      </w:r>
    </w:p>
    <w:p>
      <w:pPr>
        <w:pStyle w:val="Heading1"/>
      </w:pPr>
      <w:r>
        <w:t>2. Brand Voice</w:t>
      </w:r>
    </w:p>
    <w:tbl>
      <w:tblPr>
        <w:tblW w:type="auto" w:w="0"/>
        <w:tblLayout w:type="fixed"/>
        <w:tblLook w:firstColumn="1" w:firstRow="1" w:lastColumn="0" w:lastRow="0" w:noHBand="0" w:noVBand="1" w:val="04A0"/>
      </w:tblPr>
      <w:tblGrid>
        <w:gridCol w:w="3293"/>
        <w:gridCol w:w="3293"/>
        <w:gridCol w:w="3293"/>
      </w:tblGrid>
      <w:tr>
        <w:tc>
          <w:tcPr>
            <w:tcW w:type="dxa" w:w="1872"/>
            <w:vAlign w:val="center"/>
            <w:shd w:fill="386851"/>
          </w:tcPr>
          <w:p>
            <w:r/>
            <w:r>
              <w:rPr>
                <w:rFonts w:ascii="Mendl Sans Dusk Medium" w:hAnsi="Mendl Sans Dusk Medium" w:eastAsia="Mendl Sans Dusk Medium" w:cs="Mendl Sans Dusk Medium"/>
                <w:b/>
                <w:color w:val="FFFFFF"/>
                <w:sz w:val="17"/>
              </w:rPr>
              <w:t>Voice Attribute</w:t>
            </w:r>
          </w:p>
        </w:tc>
        <w:tc>
          <w:tcPr>
            <w:tcW w:type="dxa" w:w="4608"/>
            <w:vAlign w:val="center"/>
            <w:shd w:fill="386851"/>
          </w:tcPr>
          <w:p>
            <w:r/>
            <w:r>
              <w:rPr>
                <w:rFonts w:ascii="Mendl Sans Dusk Medium" w:hAnsi="Mendl Sans Dusk Medium" w:eastAsia="Mendl Sans Dusk Medium" w:cs="Mendl Sans Dusk Medium"/>
                <w:b/>
                <w:color w:val="FFFFFF"/>
                <w:sz w:val="17"/>
              </w:rPr>
              <w:t>Required Expression</w:t>
            </w:r>
          </w:p>
        </w:tc>
        <w:tc>
          <w:tcPr>
            <w:tcW w:type="dxa" w:w="3600"/>
            <w:vAlign w:val="center"/>
            <w:shd w:fill="386851"/>
          </w:tcPr>
          <w:p>
            <w:r/>
            <w:r>
              <w:rPr>
                <w:rFonts w:ascii="Mendl Sans Dusk Medium" w:hAnsi="Mendl Sans Dusk Medium" w:eastAsia="Mendl Sans Dusk Medium" w:cs="Mendl Sans Dusk Medium"/>
                <w:b/>
                <w:color w:val="FFFFFF"/>
                <w:sz w:val="17"/>
              </w:rPr>
              <w:t>Avoid</w:t>
            </w:r>
          </w:p>
        </w:tc>
      </w:tr>
      <w:tr>
        <w:tc>
          <w:tcPr>
            <w:tcW w:type="dxa" w:w="1872"/>
            <w:vAlign w:val="center"/>
          </w:tcPr>
          <w:p>
            <w:r/>
            <w:r>
              <w:rPr>
                <w:rFonts w:ascii="Mendl Sans Dusk Regular" w:hAnsi="Mendl Sans Dusk Regular" w:eastAsia="Mendl Sans Dusk Regular" w:cs="Mendl Sans Dusk Regular"/>
                <w:b w:val="0"/>
                <w:color w:val="202723"/>
                <w:sz w:val="17"/>
              </w:rPr>
              <w:t>Direct</w:t>
            </w:r>
          </w:p>
        </w:tc>
        <w:tc>
          <w:tcPr>
            <w:tcW w:type="dxa" w:w="4608"/>
            <w:vAlign w:val="center"/>
          </w:tcPr>
          <w:p>
            <w:r/>
            <w:r>
              <w:rPr>
                <w:rFonts w:ascii="Mendl Sans Dusk Regular" w:hAnsi="Mendl Sans Dusk Regular" w:eastAsia="Mendl Sans Dusk Regular" w:cs="Mendl Sans Dusk Regular"/>
                <w:b w:val="0"/>
                <w:color w:val="202723"/>
                <w:sz w:val="17"/>
              </w:rPr>
              <w:t>State the commitment, control, or next step plainly.</w:t>
            </w:r>
          </w:p>
        </w:tc>
        <w:tc>
          <w:tcPr>
            <w:tcW w:type="dxa" w:w="3600"/>
            <w:vAlign w:val="center"/>
          </w:tcPr>
          <w:p>
            <w:r/>
            <w:r>
              <w:rPr>
                <w:rFonts w:ascii="Mendl Sans Dusk Regular" w:hAnsi="Mendl Sans Dusk Regular" w:eastAsia="Mendl Sans Dusk Regular" w:cs="Mendl Sans Dusk Regular"/>
                <w:b w:val="0"/>
                <w:color w:val="202723"/>
                <w:sz w:val="17"/>
              </w:rPr>
              <w:t>Hype, filler, vague superiority claims</w:t>
            </w:r>
          </w:p>
        </w:tc>
      </w:tr>
      <w:tr>
        <w:tc>
          <w:tcPr>
            <w:tcW w:type="dxa" w:w="1872"/>
            <w:vAlign w:val="center"/>
          </w:tcPr>
          <w:p>
            <w:r/>
            <w:r>
              <w:rPr>
                <w:rFonts w:ascii="Mendl Sans Dusk Regular" w:hAnsi="Mendl Sans Dusk Regular" w:eastAsia="Mendl Sans Dusk Regular" w:cs="Mendl Sans Dusk Regular"/>
                <w:b w:val="0"/>
                <w:color w:val="202723"/>
                <w:sz w:val="17"/>
              </w:rPr>
              <w:t>Accountable</w:t>
            </w:r>
          </w:p>
        </w:tc>
        <w:tc>
          <w:tcPr>
            <w:tcW w:type="dxa" w:w="4608"/>
            <w:vAlign w:val="center"/>
          </w:tcPr>
          <w:p>
            <w:r/>
            <w:r>
              <w:rPr>
                <w:rFonts w:ascii="Mendl Sans Dusk Regular" w:hAnsi="Mendl Sans Dusk Regular" w:eastAsia="Mendl Sans Dusk Regular" w:cs="Mendl Sans Dusk Regular"/>
                <w:b w:val="0"/>
                <w:color w:val="202723"/>
                <w:sz w:val="17"/>
              </w:rPr>
              <w:t>Connect authority to evidence and follow-through.</w:t>
            </w:r>
          </w:p>
        </w:tc>
        <w:tc>
          <w:tcPr>
            <w:tcW w:type="dxa" w:w="3600"/>
            <w:vAlign w:val="center"/>
          </w:tcPr>
          <w:p>
            <w:r/>
            <w:r>
              <w:rPr>
                <w:rFonts w:ascii="Mendl Sans Dusk Regular" w:hAnsi="Mendl Sans Dusk Regular" w:eastAsia="Mendl Sans Dusk Regular" w:cs="Mendl Sans Dusk Regular"/>
                <w:b w:val="0"/>
                <w:color w:val="202723"/>
                <w:sz w:val="17"/>
              </w:rPr>
              <w:t>Promises without owner, process, or proof</w:t>
            </w:r>
          </w:p>
        </w:tc>
      </w:tr>
      <w:tr>
        <w:tc>
          <w:tcPr>
            <w:tcW w:type="dxa" w:w="1872"/>
            <w:vAlign w:val="center"/>
          </w:tcPr>
          <w:p>
            <w:r/>
            <w:r>
              <w:rPr>
                <w:rFonts w:ascii="Mendl Sans Dusk Regular" w:hAnsi="Mendl Sans Dusk Regular" w:eastAsia="Mendl Sans Dusk Regular" w:cs="Mendl Sans Dusk Regular"/>
                <w:b w:val="0"/>
                <w:color w:val="202723"/>
                <w:sz w:val="17"/>
              </w:rPr>
              <w:t>Veteran-led</w:t>
            </w:r>
          </w:p>
        </w:tc>
        <w:tc>
          <w:tcPr>
            <w:tcW w:type="dxa" w:w="4608"/>
            <w:vAlign w:val="center"/>
          </w:tcPr>
          <w:p>
            <w:r/>
            <w:r>
              <w:rPr>
                <w:rFonts w:ascii="Mendl Sans Dusk Regular" w:hAnsi="Mendl Sans Dusk Regular" w:eastAsia="Mendl Sans Dusk Regular" w:cs="Mendl Sans Dusk Regular"/>
                <w:b w:val="0"/>
                <w:color w:val="202723"/>
                <w:sz w:val="17"/>
              </w:rPr>
              <w:t>Express service, preparation, discipline, and responsibility.</w:t>
            </w:r>
          </w:p>
        </w:tc>
        <w:tc>
          <w:tcPr>
            <w:tcW w:type="dxa" w:w="3600"/>
            <w:vAlign w:val="center"/>
          </w:tcPr>
          <w:p>
            <w:r/>
            <w:r>
              <w:rPr>
                <w:rFonts w:ascii="Mendl Sans Dusk Regular" w:hAnsi="Mendl Sans Dusk Regular" w:eastAsia="Mendl Sans Dusk Regular" w:cs="Mendl Sans Dusk Regular"/>
                <w:b w:val="0"/>
                <w:color w:val="202723"/>
                <w:sz w:val="17"/>
              </w:rPr>
              <w:t>Combat theater, aggression, domination, or costume language</w:t>
            </w:r>
          </w:p>
        </w:tc>
      </w:tr>
      <w:tr>
        <w:tc>
          <w:tcPr>
            <w:tcW w:type="dxa" w:w="1872"/>
            <w:vAlign w:val="center"/>
          </w:tcPr>
          <w:p>
            <w:r/>
            <w:r>
              <w:rPr>
                <w:rFonts w:ascii="Mendl Sans Dusk Regular" w:hAnsi="Mendl Sans Dusk Regular" w:eastAsia="Mendl Sans Dusk Regular" w:cs="Mendl Sans Dusk Regular"/>
                <w:b w:val="0"/>
                <w:color w:val="202723"/>
                <w:sz w:val="17"/>
              </w:rPr>
              <w:t>Construction-grounded</w:t>
            </w:r>
          </w:p>
        </w:tc>
        <w:tc>
          <w:tcPr>
            <w:tcW w:type="dxa" w:w="4608"/>
            <w:vAlign w:val="center"/>
          </w:tcPr>
          <w:p>
            <w:r/>
            <w:r>
              <w:rPr>
                <w:rFonts w:ascii="Mendl Sans Dusk Regular" w:hAnsi="Mendl Sans Dusk Regular" w:eastAsia="Mendl Sans Dusk Regular" w:cs="Mendl Sans Dusk Regular"/>
                <w:b w:val="0"/>
                <w:color w:val="202723"/>
                <w:sz w:val="17"/>
              </w:rPr>
              <w:t>Use scope, sequence, schedule, safety, quality, cost, and closeout correctly.</w:t>
            </w:r>
          </w:p>
        </w:tc>
        <w:tc>
          <w:tcPr>
            <w:tcW w:type="dxa" w:w="3600"/>
            <w:vAlign w:val="center"/>
          </w:tcPr>
          <w:p>
            <w:r/>
            <w:r>
              <w:rPr>
                <w:rFonts w:ascii="Mendl Sans Dusk Regular" w:hAnsi="Mendl Sans Dusk Regular" w:eastAsia="Mendl Sans Dusk Regular" w:cs="Mendl Sans Dusk Regular"/>
                <w:b w:val="0"/>
                <w:color w:val="202723"/>
                <w:sz w:val="17"/>
              </w:rPr>
              <w:t>Military substitutions that confuse contract meaning</w:t>
            </w:r>
          </w:p>
        </w:tc>
      </w:tr>
      <w:tr>
        <w:tc>
          <w:tcPr>
            <w:tcW w:type="dxa" w:w="1872"/>
            <w:vAlign w:val="center"/>
          </w:tcPr>
          <w:p>
            <w:r/>
            <w:r>
              <w:rPr>
                <w:rFonts w:ascii="Mendl Sans Dusk Regular" w:hAnsi="Mendl Sans Dusk Regular" w:eastAsia="Mendl Sans Dusk Regular" w:cs="Mendl Sans Dusk Regular"/>
                <w:b w:val="0"/>
                <w:color w:val="202723"/>
                <w:sz w:val="17"/>
              </w:rPr>
              <w:t>Relationship-first</w:t>
            </w:r>
          </w:p>
        </w:tc>
        <w:tc>
          <w:tcPr>
            <w:tcW w:type="dxa" w:w="4608"/>
            <w:vAlign w:val="center"/>
          </w:tcPr>
          <w:p>
            <w:r/>
            <w:r>
              <w:rPr>
                <w:rFonts w:ascii="Mendl Sans Dusk Regular" w:hAnsi="Mendl Sans Dusk Regular" w:eastAsia="Mendl Sans Dusk Regular" w:cs="Mendl Sans Dusk Regular"/>
                <w:b w:val="0"/>
                <w:color w:val="202723"/>
                <w:sz w:val="17"/>
              </w:rPr>
              <w:t>Treat clients, trades, employees, and communities as partners.</w:t>
            </w:r>
          </w:p>
        </w:tc>
        <w:tc>
          <w:tcPr>
            <w:tcW w:type="dxa" w:w="3600"/>
            <w:vAlign w:val="center"/>
          </w:tcPr>
          <w:p>
            <w:r/>
            <w:r>
              <w:rPr>
                <w:rFonts w:ascii="Mendl Sans Dusk Regular" w:hAnsi="Mendl Sans Dusk Regular" w:eastAsia="Mendl Sans Dusk Regular" w:cs="Mendl Sans Dusk Regular"/>
                <w:b w:val="0"/>
                <w:color w:val="202723"/>
                <w:sz w:val="17"/>
              </w:rPr>
              <w:t>Target, capture, infiltrate, enemy, conquest</w:t>
            </w:r>
          </w:p>
        </w:tc>
      </w:tr>
      <w:tr>
        <w:tc>
          <w:tcPr>
            <w:tcW w:type="dxa" w:w="1872"/>
            <w:vAlign w:val="center"/>
          </w:tcPr>
          <w:p>
            <w:r/>
            <w:r>
              <w:rPr>
                <w:rFonts w:ascii="Mendl Sans Dusk Regular" w:hAnsi="Mendl Sans Dusk Regular" w:eastAsia="Mendl Sans Dusk Regular" w:cs="Mendl Sans Dusk Regular"/>
                <w:b w:val="0"/>
                <w:color w:val="202723"/>
                <w:sz w:val="17"/>
              </w:rPr>
              <w:t>Confident</w:t>
            </w:r>
          </w:p>
        </w:tc>
        <w:tc>
          <w:tcPr>
            <w:tcW w:type="dxa" w:w="4608"/>
            <w:vAlign w:val="center"/>
          </w:tcPr>
          <w:p>
            <w:r/>
            <w:r>
              <w:rPr>
                <w:rFonts w:ascii="Mendl Sans Dusk Regular" w:hAnsi="Mendl Sans Dusk Regular" w:eastAsia="Mendl Sans Dusk Regular" w:cs="Mendl Sans Dusk Regular"/>
                <w:b w:val="0"/>
                <w:color w:val="202723"/>
                <w:sz w:val="17"/>
              </w:rPr>
              <w:t>Use short active statements supported by facts.</w:t>
            </w:r>
          </w:p>
        </w:tc>
        <w:tc>
          <w:tcPr>
            <w:tcW w:type="dxa" w:w="3600"/>
            <w:vAlign w:val="center"/>
          </w:tcPr>
          <w:p>
            <w:r/>
            <w:r>
              <w:rPr>
                <w:rFonts w:ascii="Mendl Sans Dusk Regular" w:hAnsi="Mendl Sans Dusk Regular" w:eastAsia="Mendl Sans Dusk Regular" w:cs="Mendl Sans Dusk Regular"/>
                <w:b w:val="0"/>
                <w:color w:val="202723"/>
                <w:sz w:val="17"/>
              </w:rPr>
              <w:t>Best-in-class, unmatched, world-class without evidence</w:t>
            </w:r>
          </w:p>
        </w:tc>
      </w:tr>
    </w:tbl>
    <w:p>
      <w:pPr>
        <w:pStyle w:val="Heading1"/>
      </w:pPr>
      <w:r>
        <w:t>3. Primary Brand Lines</w:t>
      </w:r>
    </w:p>
    <w:tbl>
      <w:tblPr>
        <w:tblW w:type="auto" w:w="0"/>
        <w:tblLayout w:type="fixed"/>
        <w:tblLook w:firstColumn="1" w:firstRow="1" w:lastColumn="0" w:lastRow="0" w:noHBand="0" w:noVBand="1" w:val="04A0"/>
      </w:tblPr>
      <w:tblGrid>
        <w:gridCol w:w="3293"/>
        <w:gridCol w:w="3293"/>
        <w:gridCol w:w="3293"/>
      </w:tblGrid>
      <w:tr>
        <w:tc>
          <w:tcPr>
            <w:tcW w:type="dxa" w:w="1584"/>
            <w:vAlign w:val="center"/>
            <w:shd w:fill="386851"/>
          </w:tcPr>
          <w:p>
            <w:r/>
            <w:r>
              <w:rPr>
                <w:rFonts w:ascii="Mendl Sans Dusk Medium" w:hAnsi="Mendl Sans Dusk Medium" w:eastAsia="Mendl Sans Dusk Medium" w:cs="Mendl Sans Dusk Medium"/>
                <w:b/>
                <w:color w:val="FFFFFF"/>
                <w:sz w:val="17"/>
              </w:rPr>
              <w:t>Level</w:t>
            </w:r>
          </w:p>
        </w:tc>
        <w:tc>
          <w:tcPr>
            <w:tcW w:type="dxa" w:w="5040"/>
            <w:vAlign w:val="center"/>
            <w:shd w:fill="386851"/>
          </w:tcPr>
          <w:p>
            <w:r/>
            <w:r>
              <w:rPr>
                <w:rFonts w:ascii="Mendl Sans Dusk Medium" w:hAnsi="Mendl Sans Dusk Medium" w:eastAsia="Mendl Sans Dusk Medium" w:cs="Mendl Sans Dusk Medium"/>
                <w:b/>
                <w:color w:val="FFFFFF"/>
                <w:sz w:val="17"/>
              </w:rPr>
              <w:t>Approved Line</w:t>
            </w:r>
          </w:p>
        </w:tc>
        <w:tc>
          <w:tcPr>
            <w:tcW w:type="dxa" w:w="3456"/>
            <w:vAlign w:val="center"/>
            <w:shd w:fill="386851"/>
          </w:tcPr>
          <w:p>
            <w:r/>
            <w:r>
              <w:rPr>
                <w:rFonts w:ascii="Mendl Sans Dusk Medium" w:hAnsi="Mendl Sans Dusk Medium" w:eastAsia="Mendl Sans Dusk Medium" w:cs="Mendl Sans Dusk Medium"/>
                <w:b/>
                <w:color w:val="FFFFFF"/>
                <w:sz w:val="17"/>
              </w:rPr>
              <w:t>Primary Use</w:t>
            </w:r>
          </w:p>
        </w:tc>
      </w:tr>
      <w:tr>
        <w:tc>
          <w:tcPr>
            <w:tcW w:type="dxa" w:w="1584"/>
            <w:vAlign w:val="center"/>
          </w:tcPr>
          <w:p>
            <w:r/>
            <w:r>
              <w:rPr>
                <w:rFonts w:ascii="Mendl Sans Dusk Regular" w:hAnsi="Mendl Sans Dusk Regular" w:eastAsia="Mendl Sans Dusk Regular" w:cs="Mendl Sans Dusk Regular"/>
                <w:b w:val="0"/>
                <w:color w:val="202723"/>
                <w:sz w:val="17"/>
              </w:rPr>
              <w:t>Master</w:t>
            </w:r>
          </w:p>
        </w:tc>
        <w:tc>
          <w:tcPr>
            <w:tcW w:type="dxa" w:w="5040"/>
            <w:vAlign w:val="center"/>
          </w:tcPr>
          <w:p>
            <w:r/>
            <w:r>
              <w:rPr>
                <w:rFonts w:ascii="Mendl Sans Dusk Regular" w:hAnsi="Mendl Sans Dusk Regular" w:eastAsia="Mendl Sans Dusk Regular" w:cs="Mendl Sans Dusk Regular"/>
                <w:b w:val="0"/>
                <w:color w:val="202723"/>
                <w:sz w:val="17"/>
              </w:rPr>
              <w:t>Built on Quality, Backed by Trust.</w:t>
            </w:r>
          </w:p>
        </w:tc>
        <w:tc>
          <w:tcPr>
            <w:tcW w:type="dxa" w:w="3456"/>
            <w:vAlign w:val="center"/>
          </w:tcPr>
          <w:p>
            <w:r/>
            <w:r>
              <w:rPr>
                <w:rFonts w:ascii="Mendl Sans Dusk Regular" w:hAnsi="Mendl Sans Dusk Regular" w:eastAsia="Mendl Sans Dusk Regular" w:cs="Mendl Sans Dusk Regular"/>
                <w:b w:val="0"/>
                <w:color w:val="202723"/>
                <w:sz w:val="17"/>
              </w:rPr>
              <w:t>Homepage, corporate identity, pitch deck, major campaigns</w:t>
            </w:r>
          </w:p>
        </w:tc>
      </w:tr>
      <w:tr>
        <w:tc>
          <w:tcPr>
            <w:tcW w:type="dxa" w:w="1584"/>
            <w:vAlign w:val="center"/>
          </w:tcPr>
          <w:p>
            <w:r/>
            <w:r>
              <w:rPr>
                <w:rFonts w:ascii="Mendl Sans Dusk Regular" w:hAnsi="Mendl Sans Dusk Regular" w:eastAsia="Mendl Sans Dusk Regular" w:cs="Mendl Sans Dusk Regular"/>
                <w:b w:val="0"/>
                <w:color w:val="202723"/>
                <w:sz w:val="17"/>
              </w:rPr>
              <w:t>Relationship</w:t>
            </w:r>
          </w:p>
        </w:tc>
        <w:tc>
          <w:tcPr>
            <w:tcW w:type="dxa" w:w="5040"/>
            <w:vAlign w:val="center"/>
          </w:tcPr>
          <w:p>
            <w:r/>
            <w:r>
              <w:rPr>
                <w:rFonts w:ascii="Mendl Sans Dusk Regular" w:hAnsi="Mendl Sans Dusk Regular" w:eastAsia="Mendl Sans Dusk Regular" w:cs="Mendl Sans Dusk Regular"/>
                <w:b w:val="0"/>
                <w:color w:val="202723"/>
                <w:sz w:val="17"/>
              </w:rPr>
              <w:t>From Handshake to Handoff.</w:t>
            </w:r>
          </w:p>
        </w:tc>
        <w:tc>
          <w:tcPr>
            <w:tcW w:type="dxa" w:w="3456"/>
            <w:vAlign w:val="center"/>
          </w:tcPr>
          <w:p>
            <w:r/>
            <w:r>
              <w:rPr>
                <w:rFonts w:ascii="Mendl Sans Dusk Regular" w:hAnsi="Mendl Sans Dusk Regular" w:eastAsia="Mendl Sans Dusk Regular" w:cs="Mendl Sans Dusk Regular"/>
                <w:b w:val="0"/>
                <w:color w:val="202723"/>
                <w:sz w:val="17"/>
              </w:rPr>
              <w:t>Client journey, project delivery, closeout</w:t>
            </w:r>
          </w:p>
        </w:tc>
      </w:tr>
      <w:tr>
        <w:tc>
          <w:tcPr>
            <w:tcW w:type="dxa" w:w="1584"/>
            <w:vAlign w:val="center"/>
          </w:tcPr>
          <w:p>
            <w:r/>
            <w:r>
              <w:rPr>
                <w:rFonts w:ascii="Mendl Sans Dusk Regular" w:hAnsi="Mendl Sans Dusk Regular" w:eastAsia="Mendl Sans Dusk Regular" w:cs="Mendl Sans Dusk Regular"/>
                <w:b w:val="0"/>
                <w:color w:val="202723"/>
                <w:sz w:val="17"/>
              </w:rPr>
              <w:t>Execution</w:t>
            </w:r>
          </w:p>
        </w:tc>
        <w:tc>
          <w:tcPr>
            <w:tcW w:type="dxa" w:w="5040"/>
            <w:vAlign w:val="center"/>
          </w:tcPr>
          <w:p>
            <w:r/>
            <w:r>
              <w:rPr>
                <w:rFonts w:ascii="Mendl Sans Dusk Regular" w:hAnsi="Mendl Sans Dusk Regular" w:eastAsia="Mendl Sans Dusk Regular" w:cs="Mendl Sans Dusk Regular"/>
                <w:b w:val="0"/>
                <w:color w:val="202723"/>
                <w:sz w:val="17"/>
              </w:rPr>
              <w:t>Squared Away from Start to Finish.</w:t>
            </w:r>
          </w:p>
        </w:tc>
        <w:tc>
          <w:tcPr>
            <w:tcW w:type="dxa" w:w="3456"/>
            <w:vAlign w:val="center"/>
          </w:tcPr>
          <w:p>
            <w:r/>
            <w:r>
              <w:rPr>
                <w:rFonts w:ascii="Mendl Sans Dusk Regular" w:hAnsi="Mendl Sans Dusk Regular" w:eastAsia="Mendl Sans Dusk Regular" w:cs="Mendl Sans Dusk Regular"/>
                <w:b w:val="0"/>
                <w:color w:val="202723"/>
                <w:sz w:val="17"/>
              </w:rPr>
              <w:t>Services, field delivery, operations</w:t>
            </w:r>
          </w:p>
        </w:tc>
      </w:tr>
      <w:tr>
        <w:tc>
          <w:tcPr>
            <w:tcW w:type="dxa" w:w="1584"/>
            <w:vAlign w:val="center"/>
          </w:tcPr>
          <w:p>
            <w:r/>
            <w:r>
              <w:rPr>
                <w:rFonts w:ascii="Mendl Sans Dusk Regular" w:hAnsi="Mendl Sans Dusk Regular" w:eastAsia="Mendl Sans Dusk Regular" w:cs="Mendl Sans Dusk Regular"/>
                <w:b w:val="0"/>
                <w:color w:val="202723"/>
                <w:sz w:val="17"/>
              </w:rPr>
              <w:t>Accountability</w:t>
            </w:r>
          </w:p>
        </w:tc>
        <w:tc>
          <w:tcPr>
            <w:tcW w:type="dxa" w:w="5040"/>
            <w:vAlign w:val="center"/>
          </w:tcPr>
          <w:p>
            <w:r/>
            <w:r>
              <w:rPr>
                <w:rFonts w:ascii="Mendl Sans Dusk Regular" w:hAnsi="Mendl Sans Dusk Regular" w:eastAsia="Mendl Sans Dusk Regular" w:cs="Mendl Sans Dusk Regular"/>
                <w:b w:val="0"/>
                <w:color w:val="202723"/>
                <w:sz w:val="17"/>
              </w:rPr>
              <w:t>Your Word Is Your Bond. So Is Ours.</w:t>
            </w:r>
          </w:p>
        </w:tc>
        <w:tc>
          <w:tcPr>
            <w:tcW w:type="dxa" w:w="3456"/>
            <w:vAlign w:val="center"/>
          </w:tcPr>
          <w:p>
            <w:r/>
            <w:r>
              <w:rPr>
                <w:rFonts w:ascii="Mendl Sans Dusk Regular" w:hAnsi="Mendl Sans Dusk Regular" w:eastAsia="Mendl Sans Dusk Regular" w:cs="Mendl Sans Dusk Regular"/>
                <w:b w:val="0"/>
                <w:color w:val="202723"/>
                <w:sz w:val="17"/>
              </w:rPr>
              <w:t>Leadership, client commitments, about page</w:t>
            </w:r>
          </w:p>
        </w:tc>
      </w:tr>
      <w:tr>
        <w:tc>
          <w:tcPr>
            <w:tcW w:type="dxa" w:w="1584"/>
            <w:vAlign w:val="center"/>
          </w:tcPr>
          <w:p>
            <w:r/>
            <w:r>
              <w:rPr>
                <w:rFonts w:ascii="Mendl Sans Dusk Regular" w:hAnsi="Mendl Sans Dusk Regular" w:eastAsia="Mendl Sans Dusk Regular" w:cs="Mendl Sans Dusk Regular"/>
                <w:b w:val="0"/>
                <w:color w:val="202723"/>
                <w:sz w:val="17"/>
              </w:rPr>
              <w:t>Control</w:t>
            </w:r>
          </w:p>
        </w:tc>
        <w:tc>
          <w:tcPr>
            <w:tcW w:type="dxa" w:w="5040"/>
            <w:vAlign w:val="center"/>
          </w:tcPr>
          <w:p>
            <w:r/>
            <w:r>
              <w:rPr>
                <w:rFonts w:ascii="Mendl Sans Dusk Regular" w:hAnsi="Mendl Sans Dusk Regular" w:eastAsia="Mendl Sans Dusk Regular" w:cs="Mendl Sans Dusk Regular"/>
                <w:b w:val="0"/>
                <w:color w:val="202723"/>
                <w:sz w:val="17"/>
              </w:rPr>
              <w:t>No Gaps. No Guesswork. Accountable Follow-Through.</w:t>
            </w:r>
          </w:p>
        </w:tc>
        <w:tc>
          <w:tcPr>
            <w:tcW w:type="dxa" w:w="3456"/>
            <w:vAlign w:val="center"/>
          </w:tcPr>
          <w:p>
            <w:r/>
            <w:r>
              <w:rPr>
                <w:rFonts w:ascii="Mendl Sans Dusk Regular" w:hAnsi="Mendl Sans Dusk Regular" w:eastAsia="Mendl Sans Dusk Regular" w:cs="Mendl Sans Dusk Regular"/>
                <w:b w:val="0"/>
                <w:color w:val="202723"/>
                <w:sz w:val="17"/>
              </w:rPr>
              <w:t>BidPilot, Field Command Center, project controls</w:t>
            </w:r>
          </w:p>
        </w:tc>
      </w:tr>
      <w:tr>
        <w:tc>
          <w:tcPr>
            <w:tcW w:type="dxa" w:w="1584"/>
            <w:vAlign w:val="center"/>
          </w:tcPr>
          <w:p>
            <w:r/>
            <w:r>
              <w:rPr>
                <w:rFonts w:ascii="Mendl Sans Dusk Regular" w:hAnsi="Mendl Sans Dusk Regular" w:eastAsia="Mendl Sans Dusk Regular" w:cs="Mendl Sans Dusk Regular"/>
                <w:b w:val="0"/>
                <w:color w:val="202723"/>
                <w:sz w:val="17"/>
              </w:rPr>
              <w:t>Detail</w:t>
            </w:r>
          </w:p>
        </w:tc>
        <w:tc>
          <w:tcPr>
            <w:tcW w:type="dxa" w:w="5040"/>
            <w:vAlign w:val="center"/>
          </w:tcPr>
          <w:p>
            <w:r/>
            <w:r>
              <w:rPr>
                <w:rFonts w:ascii="Mendl Sans Dusk Regular" w:hAnsi="Mendl Sans Dusk Regular" w:eastAsia="Mendl Sans Dusk Regular" w:cs="Mendl Sans Dusk Regular"/>
                <w:b w:val="0"/>
                <w:color w:val="202723"/>
                <w:sz w:val="17"/>
              </w:rPr>
              <w:t>Professional on the Line. Thorough in the Details.</w:t>
            </w:r>
          </w:p>
        </w:tc>
        <w:tc>
          <w:tcPr>
            <w:tcW w:type="dxa" w:w="3456"/>
            <w:vAlign w:val="center"/>
          </w:tcPr>
          <w:p>
            <w:r/>
            <w:r>
              <w:rPr>
                <w:rFonts w:ascii="Mendl Sans Dusk Regular" w:hAnsi="Mendl Sans Dusk Regular" w:eastAsia="Mendl Sans Dusk Regular" w:cs="Mendl Sans Dusk Regular"/>
                <w:b w:val="0"/>
                <w:color w:val="202723"/>
                <w:sz w:val="17"/>
              </w:rPr>
              <w:t>Services, estimating, trade partners</w:t>
            </w:r>
          </w:p>
        </w:tc>
      </w:tr>
      <w:tr>
        <w:tc>
          <w:tcPr>
            <w:tcW w:type="dxa" w:w="1584"/>
            <w:vAlign w:val="center"/>
          </w:tcPr>
          <w:p>
            <w:r/>
            <w:r>
              <w:rPr>
                <w:rFonts w:ascii="Mendl Sans Dusk Regular" w:hAnsi="Mendl Sans Dusk Regular" w:eastAsia="Mendl Sans Dusk Regular" w:cs="Mendl Sans Dusk Regular"/>
                <w:b w:val="0"/>
                <w:color w:val="202723"/>
                <w:sz w:val="17"/>
              </w:rPr>
              <w:t>Safety</w:t>
            </w:r>
          </w:p>
        </w:tc>
        <w:tc>
          <w:tcPr>
            <w:tcW w:type="dxa" w:w="5040"/>
            <w:vAlign w:val="center"/>
          </w:tcPr>
          <w:p>
            <w:r/>
            <w:r>
              <w:rPr>
                <w:rFonts w:ascii="Mendl Sans Dusk Regular" w:hAnsi="Mendl Sans Dusk Regular" w:eastAsia="Mendl Sans Dusk Regular" w:cs="Mendl Sans Dusk Regular"/>
                <w:b w:val="0"/>
                <w:color w:val="202723"/>
                <w:sz w:val="17"/>
              </w:rPr>
              <w:t>Every Team Member Returns Home Safe.</w:t>
            </w:r>
          </w:p>
        </w:tc>
        <w:tc>
          <w:tcPr>
            <w:tcW w:type="dxa" w:w="3456"/>
            <w:vAlign w:val="center"/>
          </w:tcPr>
          <w:p>
            <w:r/>
            <w:r>
              <w:rPr>
                <w:rFonts w:ascii="Mendl Sans Dusk Regular" w:hAnsi="Mendl Sans Dusk Regular" w:eastAsia="Mendl Sans Dusk Regular" w:cs="Mendl Sans Dusk Regular"/>
                <w:b w:val="0"/>
                <w:color w:val="202723"/>
                <w:sz w:val="17"/>
              </w:rPr>
              <w:t>Safety, careers, orientation</w:t>
            </w:r>
          </w:p>
        </w:tc>
      </w:tr>
      <w:tr>
        <w:tc>
          <w:tcPr>
            <w:tcW w:type="dxa" w:w="1584"/>
            <w:vAlign w:val="center"/>
          </w:tcPr>
          <w:p>
            <w:r/>
            <w:r>
              <w:rPr>
                <w:rFonts w:ascii="Mendl Sans Dusk Regular" w:hAnsi="Mendl Sans Dusk Regular" w:eastAsia="Mendl Sans Dusk Regular" w:cs="Mendl Sans Dusk Regular"/>
                <w:b w:val="0"/>
                <w:color w:val="202723"/>
                <w:sz w:val="17"/>
              </w:rPr>
              <w:t>Veteran</w:t>
            </w:r>
          </w:p>
        </w:tc>
        <w:tc>
          <w:tcPr>
            <w:tcW w:type="dxa" w:w="5040"/>
            <w:vAlign w:val="center"/>
          </w:tcPr>
          <w:p>
            <w:r/>
            <w:r>
              <w:rPr>
                <w:rFonts w:ascii="Mendl Sans Dusk Regular" w:hAnsi="Mendl Sans Dusk Regular" w:eastAsia="Mendl Sans Dusk Regular" w:cs="Mendl Sans Dusk Regular"/>
                <w:b w:val="0"/>
                <w:color w:val="202723"/>
                <w:sz w:val="17"/>
              </w:rPr>
              <w:t>Service-Earned Discipline. Field-Proven Results.</w:t>
            </w:r>
          </w:p>
        </w:tc>
        <w:tc>
          <w:tcPr>
            <w:tcW w:type="dxa" w:w="3456"/>
            <w:vAlign w:val="center"/>
          </w:tcPr>
          <w:p>
            <w:r/>
            <w:r>
              <w:rPr>
                <w:rFonts w:ascii="Mendl Sans Dusk Regular" w:hAnsi="Mendl Sans Dusk Regular" w:eastAsia="Mendl Sans Dusk Regular" w:cs="Mendl Sans Dusk Regular"/>
                <w:b w:val="0"/>
                <w:color w:val="202723"/>
                <w:sz w:val="17"/>
              </w:rPr>
              <w:t>Veterans, public sector, recruitment</w:t>
            </w:r>
          </w:p>
        </w:tc>
      </w:tr>
      <w:tr>
        <w:tc>
          <w:tcPr>
            <w:tcW w:type="dxa" w:w="1584"/>
            <w:vAlign w:val="center"/>
          </w:tcPr>
          <w:p>
            <w:r/>
            <w:r>
              <w:rPr>
                <w:rFonts w:ascii="Mendl Sans Dusk Regular" w:hAnsi="Mendl Sans Dusk Regular" w:eastAsia="Mendl Sans Dusk Regular" w:cs="Mendl Sans Dusk Regular"/>
                <w:b w:val="0"/>
                <w:color w:val="202723"/>
                <w:sz w:val="17"/>
              </w:rPr>
              <w:t>Partnership</w:t>
            </w:r>
          </w:p>
        </w:tc>
        <w:tc>
          <w:tcPr>
            <w:tcW w:type="dxa" w:w="5040"/>
            <w:vAlign w:val="center"/>
          </w:tcPr>
          <w:p>
            <w:r/>
            <w:r>
              <w:rPr>
                <w:rFonts w:ascii="Mendl Sans Dusk Regular" w:hAnsi="Mendl Sans Dusk Regular" w:eastAsia="Mendl Sans Dusk Regular" w:cs="Mendl Sans Dusk Regular"/>
                <w:b w:val="0"/>
                <w:color w:val="202723"/>
                <w:sz w:val="17"/>
              </w:rPr>
              <w:t>One Mission. One Team. One Accountable Build.</w:t>
            </w:r>
          </w:p>
        </w:tc>
        <w:tc>
          <w:tcPr>
            <w:tcW w:type="dxa" w:w="3456"/>
            <w:vAlign w:val="center"/>
          </w:tcPr>
          <w:p>
            <w:r/>
            <w:r>
              <w:rPr>
                <w:rFonts w:ascii="Mendl Sans Dusk Regular" w:hAnsi="Mendl Sans Dusk Regular" w:eastAsia="Mendl Sans Dusk Regular" w:cs="Mendl Sans Dusk Regular"/>
                <w:b w:val="0"/>
                <w:color w:val="202723"/>
                <w:sz w:val="17"/>
              </w:rPr>
              <w:t>Client and trade-partner campaigns</w:t>
            </w:r>
          </w:p>
        </w:tc>
      </w:tr>
      <w:tr>
        <w:tc>
          <w:tcPr>
            <w:tcW w:type="dxa" w:w="1584"/>
            <w:vAlign w:val="center"/>
          </w:tcPr>
          <w:p>
            <w:r/>
            <w:r>
              <w:rPr>
                <w:rFonts w:ascii="Mendl Sans Dusk Regular" w:hAnsi="Mendl Sans Dusk Regular" w:eastAsia="Mendl Sans Dusk Regular" w:cs="Mendl Sans Dusk Regular"/>
                <w:b w:val="0"/>
                <w:color w:val="202723"/>
                <w:sz w:val="17"/>
              </w:rPr>
              <w:t>Community</w:t>
            </w:r>
          </w:p>
        </w:tc>
        <w:tc>
          <w:tcPr>
            <w:tcW w:type="dxa" w:w="5040"/>
            <w:vAlign w:val="center"/>
          </w:tcPr>
          <w:p>
            <w:r/>
            <w:r>
              <w:rPr>
                <w:rFonts w:ascii="Mendl Sans Dusk Regular" w:hAnsi="Mendl Sans Dusk Regular" w:eastAsia="Mendl Sans Dusk Regular" w:cs="Mendl Sans Dusk Regular"/>
                <w:b w:val="0"/>
                <w:color w:val="202723"/>
                <w:sz w:val="17"/>
              </w:rPr>
              <w:t>Build the Project. Strengthen the Community.</w:t>
            </w:r>
          </w:p>
        </w:tc>
        <w:tc>
          <w:tcPr>
            <w:tcW w:type="dxa" w:w="3456"/>
            <w:vAlign w:val="center"/>
          </w:tcPr>
          <w:p>
            <w:r/>
            <w:r>
              <w:rPr>
                <w:rFonts w:ascii="Mendl Sans Dusk Regular" w:hAnsi="Mendl Sans Dusk Regular" w:eastAsia="Mendl Sans Dusk Regular" w:cs="Mendl Sans Dusk Regular"/>
                <w:b w:val="0"/>
                <w:color w:val="202723"/>
                <w:sz w:val="17"/>
              </w:rPr>
              <w:t>Events and outreach</w:t>
            </w:r>
          </w:p>
        </w:tc>
      </w:tr>
    </w:tbl>
    <w:p>
      <w:pPr>
        <w:pStyle w:val="Heading1"/>
      </w:pPr>
      <w:r>
        <w:t>4. Controlled Terminology</w:t>
      </w:r>
    </w:p>
    <w:tbl>
      <w:tblPr>
        <w:tblW w:type="auto" w:w="0"/>
        <w:tblLayout w:type="fixed"/>
        <w:tblLook w:firstColumn="1" w:firstRow="1" w:lastColumn="0" w:lastRow="0" w:noHBand="0" w:noVBand="1" w:val="04A0"/>
      </w:tblPr>
      <w:tblGrid>
        <w:gridCol w:w="3293"/>
        <w:gridCol w:w="3293"/>
        <w:gridCol w:w="3293"/>
      </w:tblGrid>
      <w:tr>
        <w:tc>
          <w:tcPr>
            <w:tcW w:type="dxa" w:w="2304"/>
            <w:vAlign w:val="center"/>
            <w:shd w:fill="386851"/>
          </w:tcPr>
          <w:p>
            <w:r/>
            <w:r>
              <w:rPr>
                <w:rFonts w:ascii="Mendl Sans Dusk Medium" w:hAnsi="Mendl Sans Dusk Medium" w:eastAsia="Mendl Sans Dusk Medium" w:cs="Mendl Sans Dusk Medium"/>
                <w:b/>
                <w:color w:val="FFFFFF"/>
                <w:sz w:val="17"/>
              </w:rPr>
              <w:t>Term</w:t>
            </w:r>
          </w:p>
        </w:tc>
        <w:tc>
          <w:tcPr>
            <w:tcW w:type="dxa" w:w="4464"/>
            <w:vAlign w:val="center"/>
            <w:shd w:fill="386851"/>
          </w:tcPr>
          <w:p>
            <w:r/>
            <w:r>
              <w:rPr>
                <w:rFonts w:ascii="Mendl Sans Dusk Medium" w:hAnsi="Mendl Sans Dusk Medium" w:eastAsia="Mendl Sans Dusk Medium" w:cs="Mendl Sans Dusk Medium"/>
                <w:b/>
                <w:color w:val="FFFFFF"/>
                <w:sz w:val="17"/>
              </w:rPr>
              <w:t>Controlled Meaning</w:t>
            </w:r>
          </w:p>
        </w:tc>
        <w:tc>
          <w:tcPr>
            <w:tcW w:type="dxa" w:w="3312"/>
            <w:vAlign w:val="center"/>
            <w:shd w:fill="386851"/>
          </w:tcPr>
          <w:p>
            <w:r/>
            <w:r>
              <w:rPr>
                <w:rFonts w:ascii="Mendl Sans Dusk Medium" w:hAnsi="Mendl Sans Dusk Medium" w:eastAsia="Mendl Sans Dusk Medium" w:cs="Mendl Sans Dusk Medium"/>
                <w:b/>
                <w:color w:val="FFFFFF"/>
                <w:sz w:val="17"/>
              </w:rPr>
              <w:t>Use Boundary</w:t>
            </w:r>
          </w:p>
        </w:tc>
      </w:tr>
      <w:tr>
        <w:tc>
          <w:tcPr>
            <w:tcW w:type="dxa" w:w="2304"/>
            <w:vAlign w:val="center"/>
          </w:tcPr>
          <w:p>
            <w:r/>
            <w:r>
              <w:rPr>
                <w:rFonts w:ascii="Mendl Sans Dusk Regular" w:hAnsi="Mendl Sans Dusk Regular" w:eastAsia="Mendl Sans Dusk Regular" w:cs="Mendl Sans Dusk Regular"/>
                <w:b w:val="0"/>
                <w:color w:val="202723"/>
                <w:sz w:val="17"/>
              </w:rPr>
              <w:t>Command Center</w:t>
            </w:r>
          </w:p>
        </w:tc>
        <w:tc>
          <w:tcPr>
            <w:tcW w:type="dxa" w:w="4464"/>
            <w:vAlign w:val="center"/>
          </w:tcPr>
          <w:p>
            <w:r/>
            <w:r>
              <w:rPr>
                <w:rFonts w:ascii="Mendl Sans Dusk Regular" w:hAnsi="Mendl Sans Dusk Regular" w:eastAsia="Mendl Sans Dusk Regular" w:cs="Mendl Sans Dusk Regular"/>
                <w:b w:val="0"/>
                <w:color w:val="202723"/>
                <w:sz w:val="17"/>
              </w:rPr>
              <w:t>Primary home, leadership, or operational coordination point</w:t>
            </w:r>
          </w:p>
        </w:tc>
        <w:tc>
          <w:tcPr>
            <w:tcW w:type="dxa" w:w="3312"/>
            <w:vAlign w:val="center"/>
          </w:tcPr>
          <w:p>
            <w:r/>
            <w:r>
              <w:rPr>
                <w:rFonts w:ascii="Mendl Sans Dusk Regular" w:hAnsi="Mendl Sans Dusk Regular" w:eastAsia="Mendl Sans Dusk Regular" w:cs="Mendl Sans Dusk Regular"/>
                <w:b w:val="0"/>
                <w:color w:val="202723"/>
                <w:sz w:val="17"/>
              </w:rPr>
              <w:t>Website homepage; internal dashboard</w:t>
            </w:r>
          </w:p>
        </w:tc>
      </w:tr>
      <w:tr>
        <w:tc>
          <w:tcPr>
            <w:tcW w:type="dxa" w:w="2304"/>
            <w:vAlign w:val="center"/>
          </w:tcPr>
          <w:p>
            <w:r/>
            <w:r>
              <w:rPr>
                <w:rFonts w:ascii="Mendl Sans Dusk Regular" w:hAnsi="Mendl Sans Dusk Regular" w:eastAsia="Mendl Sans Dusk Regular" w:cs="Mendl Sans Dusk Regular"/>
                <w:b w:val="0"/>
                <w:color w:val="202723"/>
                <w:sz w:val="17"/>
              </w:rPr>
              <w:t>Operations Brief</w:t>
            </w:r>
          </w:p>
        </w:tc>
        <w:tc>
          <w:tcPr>
            <w:tcW w:type="dxa" w:w="4464"/>
            <w:vAlign w:val="center"/>
          </w:tcPr>
          <w:p>
            <w:r/>
            <w:r>
              <w:rPr>
                <w:rFonts w:ascii="Mendl Sans Dusk Regular" w:hAnsi="Mendl Sans Dusk Regular" w:eastAsia="Mendl Sans Dusk Regular" w:cs="Mendl Sans Dusk Regular"/>
                <w:b w:val="0"/>
                <w:color w:val="202723"/>
                <w:sz w:val="17"/>
              </w:rPr>
              <w:t>Clear summary of scope, constraints, approach, and next steps</w:t>
            </w:r>
          </w:p>
        </w:tc>
        <w:tc>
          <w:tcPr>
            <w:tcW w:type="dxa" w:w="3312"/>
            <w:vAlign w:val="center"/>
          </w:tcPr>
          <w:p>
            <w:r/>
            <w:r>
              <w:rPr>
                <w:rFonts w:ascii="Mendl Sans Dusk Regular" w:hAnsi="Mendl Sans Dusk Regular" w:eastAsia="Mendl Sans Dusk Regular" w:cs="Mendl Sans Dusk Regular"/>
                <w:b w:val="0"/>
                <w:color w:val="202723"/>
                <w:sz w:val="17"/>
              </w:rPr>
              <w:t>Services and project intake</w:t>
            </w:r>
          </w:p>
        </w:tc>
      </w:tr>
      <w:tr>
        <w:tc>
          <w:tcPr>
            <w:tcW w:type="dxa" w:w="2304"/>
            <w:vAlign w:val="center"/>
          </w:tcPr>
          <w:p>
            <w:r/>
            <w:r>
              <w:rPr>
                <w:rFonts w:ascii="Mendl Sans Dusk Regular" w:hAnsi="Mendl Sans Dusk Regular" w:eastAsia="Mendl Sans Dusk Regular" w:cs="Mendl Sans Dusk Regular"/>
                <w:b w:val="0"/>
                <w:color w:val="202723"/>
                <w:sz w:val="17"/>
              </w:rPr>
              <w:t>Mission</w:t>
            </w:r>
          </w:p>
        </w:tc>
        <w:tc>
          <w:tcPr>
            <w:tcW w:type="dxa" w:w="4464"/>
            <w:vAlign w:val="center"/>
          </w:tcPr>
          <w:p>
            <w:r/>
            <w:r>
              <w:rPr>
                <w:rFonts w:ascii="Mendl Sans Dusk Regular" w:hAnsi="Mendl Sans Dusk Regular" w:eastAsia="Mendl Sans Dusk Regular" w:cs="Mendl Sans Dusk Regular"/>
                <w:b w:val="0"/>
                <w:color w:val="202723"/>
                <w:sz w:val="17"/>
              </w:rPr>
              <w:t>Defined objective with success criteria</w:t>
            </w:r>
          </w:p>
        </w:tc>
        <w:tc>
          <w:tcPr>
            <w:tcW w:type="dxa" w:w="3312"/>
            <w:vAlign w:val="center"/>
          </w:tcPr>
          <w:p>
            <w:r/>
            <w:r>
              <w:rPr>
                <w:rFonts w:ascii="Mendl Sans Dusk Regular" w:hAnsi="Mendl Sans Dusk Regular" w:eastAsia="Mendl Sans Dusk Regular" w:cs="Mendl Sans Dusk Regular"/>
                <w:b w:val="0"/>
                <w:color w:val="202723"/>
                <w:sz w:val="17"/>
              </w:rPr>
              <w:t>Campaign or project objective; never a substitute for contract scope</w:t>
            </w:r>
          </w:p>
        </w:tc>
      </w:tr>
      <w:tr>
        <w:tc>
          <w:tcPr>
            <w:tcW w:type="dxa" w:w="2304"/>
            <w:vAlign w:val="center"/>
          </w:tcPr>
          <w:p>
            <w:r/>
            <w:r>
              <w:rPr>
                <w:rFonts w:ascii="Mendl Sans Dusk Regular" w:hAnsi="Mendl Sans Dusk Regular" w:eastAsia="Mendl Sans Dusk Regular" w:cs="Mendl Sans Dusk Regular"/>
                <w:b w:val="0"/>
                <w:color w:val="202723"/>
                <w:sz w:val="17"/>
              </w:rPr>
              <w:t>Mission Parameters</w:t>
            </w:r>
          </w:p>
        </w:tc>
        <w:tc>
          <w:tcPr>
            <w:tcW w:type="dxa" w:w="4464"/>
            <w:vAlign w:val="center"/>
          </w:tcPr>
          <w:p>
            <w:r/>
            <w:r>
              <w:rPr>
                <w:rFonts w:ascii="Mendl Sans Dusk Regular" w:hAnsi="Mendl Sans Dusk Regular" w:eastAsia="Mendl Sans Dusk Regular" w:cs="Mendl Sans Dusk Regular"/>
                <w:b w:val="0"/>
                <w:color w:val="202723"/>
                <w:sz w:val="17"/>
              </w:rPr>
              <w:t>Scope, budget, schedule, risks, and constraints</w:t>
            </w:r>
          </w:p>
        </w:tc>
        <w:tc>
          <w:tcPr>
            <w:tcW w:type="dxa" w:w="3312"/>
            <w:vAlign w:val="center"/>
          </w:tcPr>
          <w:p>
            <w:r/>
            <w:r>
              <w:rPr>
                <w:rFonts w:ascii="Mendl Sans Dusk Regular" w:hAnsi="Mendl Sans Dusk Regular" w:eastAsia="Mendl Sans Dusk Regular" w:cs="Mendl Sans Dusk Regular"/>
                <w:b w:val="0"/>
                <w:color w:val="202723"/>
                <w:sz w:val="17"/>
              </w:rPr>
              <w:t>Preconstruction and BidPilot</w:t>
            </w:r>
          </w:p>
        </w:tc>
      </w:tr>
      <w:tr>
        <w:tc>
          <w:tcPr>
            <w:tcW w:type="dxa" w:w="2304"/>
            <w:vAlign w:val="center"/>
          </w:tcPr>
          <w:p>
            <w:r/>
            <w:r>
              <w:rPr>
                <w:rFonts w:ascii="Mendl Sans Dusk Regular" w:hAnsi="Mendl Sans Dusk Regular" w:eastAsia="Mendl Sans Dusk Regular" w:cs="Mendl Sans Dusk Regular"/>
                <w:b w:val="0"/>
                <w:color w:val="202723"/>
                <w:sz w:val="17"/>
              </w:rPr>
              <w:t>Mission-Ready</w:t>
            </w:r>
          </w:p>
        </w:tc>
        <w:tc>
          <w:tcPr>
            <w:tcW w:type="dxa" w:w="4464"/>
            <w:vAlign w:val="center"/>
          </w:tcPr>
          <w:p>
            <w:r/>
            <w:r>
              <w:rPr>
                <w:rFonts w:ascii="Mendl Sans Dusk Regular" w:hAnsi="Mendl Sans Dusk Regular" w:eastAsia="Mendl Sans Dusk Regular" w:cs="Mendl Sans Dusk Regular"/>
                <w:b w:val="0"/>
                <w:color w:val="202723"/>
                <w:sz w:val="17"/>
              </w:rPr>
              <w:t>Verified prepared, qualified, resourced, and authorized</w:t>
            </w:r>
          </w:p>
        </w:tc>
        <w:tc>
          <w:tcPr>
            <w:tcW w:type="dxa" w:w="3312"/>
            <w:vAlign w:val="center"/>
          </w:tcPr>
          <w:p>
            <w:r/>
            <w:r>
              <w:rPr>
                <w:rFonts w:ascii="Mendl Sans Dusk Regular" w:hAnsi="Mendl Sans Dusk Regular" w:eastAsia="Mendl Sans Dusk Regular" w:cs="Mendl Sans Dusk Regular"/>
                <w:b w:val="0"/>
                <w:color w:val="202723"/>
                <w:sz w:val="17"/>
              </w:rPr>
              <w:t>People, equipment, and handoffs</w:t>
            </w:r>
          </w:p>
        </w:tc>
      </w:tr>
      <w:tr>
        <w:tc>
          <w:tcPr>
            <w:tcW w:type="dxa" w:w="2304"/>
            <w:vAlign w:val="center"/>
          </w:tcPr>
          <w:p>
            <w:r/>
            <w:r>
              <w:rPr>
                <w:rFonts w:ascii="Mendl Sans Dusk Regular" w:hAnsi="Mendl Sans Dusk Regular" w:eastAsia="Mendl Sans Dusk Regular" w:cs="Mendl Sans Dusk Regular"/>
                <w:b w:val="0"/>
                <w:color w:val="202723"/>
                <w:sz w:val="17"/>
              </w:rPr>
              <w:t>Deployment</w:t>
            </w:r>
          </w:p>
        </w:tc>
        <w:tc>
          <w:tcPr>
            <w:tcW w:type="dxa" w:w="4464"/>
            <w:vAlign w:val="center"/>
          </w:tcPr>
          <w:p>
            <w:r/>
            <w:r>
              <w:rPr>
                <w:rFonts w:ascii="Mendl Sans Dusk Regular" w:hAnsi="Mendl Sans Dusk Regular" w:eastAsia="Mendl Sans Dusk Regular" w:cs="Mendl Sans Dusk Regular"/>
                <w:b w:val="0"/>
                <w:color w:val="202723"/>
                <w:sz w:val="17"/>
              </w:rPr>
              <w:t>Controlled mobilization of people or assets</w:t>
            </w:r>
          </w:p>
        </w:tc>
        <w:tc>
          <w:tcPr>
            <w:tcW w:type="dxa" w:w="3312"/>
            <w:vAlign w:val="center"/>
          </w:tcPr>
          <w:p>
            <w:r/>
            <w:r>
              <w:rPr>
                <w:rFonts w:ascii="Mendl Sans Dusk Regular" w:hAnsi="Mendl Sans Dusk Regular" w:eastAsia="Mendl Sans Dusk Regular" w:cs="Mendl Sans Dusk Regular"/>
                <w:b w:val="0"/>
                <w:color w:val="202723"/>
                <w:sz w:val="17"/>
              </w:rPr>
              <w:t>Field mobilization; use standard term beside it on first reference</w:t>
            </w:r>
          </w:p>
        </w:tc>
      </w:tr>
      <w:tr>
        <w:tc>
          <w:tcPr>
            <w:tcW w:type="dxa" w:w="2304"/>
            <w:vAlign w:val="center"/>
          </w:tcPr>
          <w:p>
            <w:r/>
            <w:r>
              <w:rPr>
                <w:rFonts w:ascii="Mendl Sans Dusk Regular" w:hAnsi="Mendl Sans Dusk Regular" w:eastAsia="Mendl Sans Dusk Regular" w:cs="Mendl Sans Dusk Regular"/>
                <w:b w:val="0"/>
                <w:color w:val="202723"/>
                <w:sz w:val="17"/>
              </w:rPr>
              <w:t>Command Loop</w:t>
            </w:r>
          </w:p>
        </w:tc>
        <w:tc>
          <w:tcPr>
            <w:tcW w:type="dxa" w:w="4464"/>
            <w:vAlign w:val="center"/>
          </w:tcPr>
          <w:p>
            <w:r/>
            <w:r>
              <w:rPr>
                <w:rFonts w:ascii="Mendl Sans Dusk Regular" w:hAnsi="Mendl Sans Dusk Regular" w:eastAsia="Mendl Sans Dusk Regular" w:cs="Mendl Sans Dusk Regular"/>
                <w:b w:val="0"/>
                <w:color w:val="202723"/>
                <w:sz w:val="17"/>
              </w:rPr>
              <w:t>Documented feedback, escalation, decision, and closeout cycle</w:t>
            </w:r>
          </w:p>
        </w:tc>
        <w:tc>
          <w:tcPr>
            <w:tcW w:type="dxa" w:w="3312"/>
            <w:vAlign w:val="center"/>
          </w:tcPr>
          <w:p>
            <w:r/>
            <w:r>
              <w:rPr>
                <w:rFonts w:ascii="Mendl Sans Dusk Regular" w:hAnsi="Mendl Sans Dusk Regular" w:eastAsia="Mendl Sans Dusk Regular" w:cs="Mendl Sans Dusk Regular"/>
                <w:b w:val="0"/>
                <w:color w:val="202723"/>
                <w:sz w:val="17"/>
              </w:rPr>
              <w:t>Internal operations and safety</w:t>
            </w:r>
          </w:p>
        </w:tc>
      </w:tr>
      <w:tr>
        <w:tc>
          <w:tcPr>
            <w:tcW w:type="dxa" w:w="2304"/>
            <w:vAlign w:val="center"/>
          </w:tcPr>
          <w:p>
            <w:r/>
            <w:r>
              <w:rPr>
                <w:rFonts w:ascii="Mendl Sans Dusk Regular" w:hAnsi="Mendl Sans Dusk Regular" w:eastAsia="Mendl Sans Dusk Regular" w:cs="Mendl Sans Dusk Regular"/>
                <w:b w:val="0"/>
                <w:color w:val="202723"/>
                <w:sz w:val="17"/>
              </w:rPr>
              <w:t>Field Command Center</w:t>
            </w:r>
          </w:p>
        </w:tc>
        <w:tc>
          <w:tcPr>
            <w:tcW w:type="dxa" w:w="4464"/>
            <w:vAlign w:val="center"/>
          </w:tcPr>
          <w:p>
            <w:r/>
            <w:r>
              <w:rPr>
                <w:rFonts w:ascii="Mendl Sans Dusk Regular" w:hAnsi="Mendl Sans Dusk Regular" w:eastAsia="Mendl Sans Dusk Regular" w:cs="Mendl Sans Dusk Regular"/>
                <w:b w:val="0"/>
                <w:color w:val="202723"/>
                <w:sz w:val="17"/>
              </w:rPr>
              <w:t>Internal job-aligned operations portal</w:t>
            </w:r>
          </w:p>
        </w:tc>
        <w:tc>
          <w:tcPr>
            <w:tcW w:type="dxa" w:w="3312"/>
            <w:vAlign w:val="center"/>
          </w:tcPr>
          <w:p>
            <w:r/>
            <w:r>
              <w:rPr>
                <w:rFonts w:ascii="Mendl Sans Dusk Regular" w:hAnsi="Mendl Sans Dusk Regular" w:eastAsia="Mendl Sans Dusk Regular" w:cs="Mendl Sans Dusk Regular"/>
                <w:b w:val="0"/>
                <w:color w:val="202723"/>
                <w:sz w:val="17"/>
              </w:rPr>
              <w:t>Internal and authenticated pages</w:t>
            </w:r>
          </w:p>
        </w:tc>
      </w:tr>
      <w:tr>
        <w:tc>
          <w:tcPr>
            <w:tcW w:type="dxa" w:w="2304"/>
            <w:vAlign w:val="center"/>
          </w:tcPr>
          <w:p>
            <w:r/>
            <w:r>
              <w:rPr>
                <w:rFonts w:ascii="Mendl Sans Dusk Regular" w:hAnsi="Mendl Sans Dusk Regular" w:eastAsia="Mendl Sans Dusk Regular" w:cs="Mendl Sans Dusk Regular"/>
                <w:b w:val="0"/>
                <w:color w:val="202723"/>
                <w:sz w:val="17"/>
              </w:rPr>
              <w:t>BidPilot</w:t>
            </w:r>
          </w:p>
        </w:tc>
        <w:tc>
          <w:tcPr>
            <w:tcW w:type="dxa" w:w="4464"/>
            <w:vAlign w:val="center"/>
          </w:tcPr>
          <w:p>
            <w:r/>
            <w:r>
              <w:rPr>
                <w:rFonts w:ascii="Mendl Sans Dusk Regular" w:hAnsi="Mendl Sans Dusk Regular" w:eastAsia="Mendl Sans Dusk Regular" w:cs="Mendl Sans Dusk Regular"/>
                <w:b w:val="0"/>
                <w:color w:val="202723"/>
                <w:sz w:val="17"/>
              </w:rPr>
              <w:t>Sales, Estimating, and Preconstruction portal</w:t>
            </w:r>
          </w:p>
        </w:tc>
        <w:tc>
          <w:tcPr>
            <w:tcW w:type="dxa" w:w="3312"/>
            <w:vAlign w:val="center"/>
          </w:tcPr>
          <w:p>
            <w:r/>
            <w:r>
              <w:rPr>
                <w:rFonts w:ascii="Mendl Sans Dusk Regular" w:hAnsi="Mendl Sans Dusk Regular" w:eastAsia="Mendl Sans Dusk Regular" w:cs="Mendl Sans Dusk Regular"/>
                <w:b w:val="0"/>
                <w:color w:val="202723"/>
                <w:sz w:val="17"/>
              </w:rPr>
              <w:t>Internal and approved recruiting/technology references</w:t>
            </w:r>
          </w:p>
        </w:tc>
      </w:tr>
      <w:tr>
        <w:tc>
          <w:tcPr>
            <w:tcW w:type="dxa" w:w="2304"/>
            <w:vAlign w:val="center"/>
          </w:tcPr>
          <w:p>
            <w:r/>
            <w:r>
              <w:rPr>
                <w:rFonts w:ascii="Mendl Sans Dusk Regular" w:hAnsi="Mendl Sans Dusk Regular" w:eastAsia="Mendl Sans Dusk Regular" w:cs="Mendl Sans Dusk Regular"/>
                <w:b w:val="0"/>
                <w:color w:val="202723"/>
                <w:sz w:val="17"/>
              </w:rPr>
              <w:t>Marketing Flight</w:t>
            </w:r>
          </w:p>
        </w:tc>
        <w:tc>
          <w:tcPr>
            <w:tcW w:type="dxa" w:w="4464"/>
            <w:vAlign w:val="center"/>
          </w:tcPr>
          <w:p>
            <w:r/>
            <w:r>
              <w:rPr>
                <w:rFonts w:ascii="Mendl Sans Dusk Regular" w:hAnsi="Mendl Sans Dusk Regular" w:eastAsia="Mendl Sans Dusk Regular" w:cs="Mendl Sans Dusk Regular"/>
                <w:b w:val="0"/>
                <w:color w:val="202723"/>
                <w:sz w:val="17"/>
              </w:rPr>
              <w:t>Marketing campaign and relationship portal</w:t>
            </w:r>
          </w:p>
        </w:tc>
        <w:tc>
          <w:tcPr>
            <w:tcW w:type="dxa" w:w="3312"/>
            <w:vAlign w:val="center"/>
          </w:tcPr>
          <w:p>
            <w:r/>
            <w:r>
              <w:rPr>
                <w:rFonts w:ascii="Mendl Sans Dusk Regular" w:hAnsi="Mendl Sans Dusk Regular" w:eastAsia="Mendl Sans Dusk Regular" w:cs="Mendl Sans Dusk Regular"/>
                <w:b w:val="0"/>
                <w:color w:val="202723"/>
                <w:sz w:val="17"/>
              </w:rPr>
              <w:t>Internal and approved marketing references</w:t>
            </w:r>
          </w:p>
        </w:tc>
      </w:tr>
      <w:tr>
        <w:tc>
          <w:tcPr>
            <w:tcW w:type="dxa" w:w="2304"/>
            <w:vAlign w:val="center"/>
          </w:tcPr>
          <w:p>
            <w:r/>
            <w:r>
              <w:rPr>
                <w:rFonts w:ascii="Mendl Sans Dusk Regular" w:hAnsi="Mendl Sans Dusk Regular" w:eastAsia="Mendl Sans Dusk Regular" w:cs="Mendl Sans Dusk Regular"/>
                <w:b w:val="0"/>
                <w:color w:val="202723"/>
                <w:sz w:val="17"/>
              </w:rPr>
              <w:t>Operational Theater</w:t>
            </w:r>
          </w:p>
        </w:tc>
        <w:tc>
          <w:tcPr>
            <w:tcW w:type="dxa" w:w="4464"/>
            <w:vAlign w:val="center"/>
          </w:tcPr>
          <w:p>
            <w:r/>
            <w:r>
              <w:rPr>
                <w:rFonts w:ascii="Mendl Sans Dusk Regular" w:hAnsi="Mendl Sans Dusk Regular" w:eastAsia="Mendl Sans Dusk Regular" w:cs="Mendl Sans Dusk Regular"/>
                <w:b w:val="0"/>
                <w:color w:val="202723"/>
                <w:sz w:val="17"/>
              </w:rPr>
              <w:t>Active work area or jobsite</w:t>
            </w:r>
          </w:p>
        </w:tc>
        <w:tc>
          <w:tcPr>
            <w:tcW w:type="dxa" w:w="3312"/>
            <w:vAlign w:val="center"/>
          </w:tcPr>
          <w:p>
            <w:r/>
            <w:r>
              <w:rPr>
                <w:rFonts w:ascii="Mendl Sans Dusk Regular" w:hAnsi="Mendl Sans Dusk Regular" w:eastAsia="Mendl Sans Dusk Regular" w:cs="Mendl Sans Dusk Regular"/>
                <w:b w:val="0"/>
                <w:color w:val="202723"/>
                <w:sz w:val="17"/>
              </w:rPr>
              <w:t>Internal safety language only; use jobsite publicly</w:t>
            </w:r>
          </w:p>
        </w:tc>
      </w:tr>
      <w:tr>
        <w:tc>
          <w:tcPr>
            <w:tcW w:type="dxa" w:w="2304"/>
            <w:vAlign w:val="center"/>
          </w:tcPr>
          <w:p>
            <w:r/>
            <w:r>
              <w:rPr>
                <w:rFonts w:ascii="Mendl Sans Dusk Regular" w:hAnsi="Mendl Sans Dusk Regular" w:eastAsia="Mendl Sans Dusk Regular" w:cs="Mendl Sans Dusk Regular"/>
                <w:b w:val="0"/>
                <w:color w:val="202723"/>
                <w:sz w:val="17"/>
              </w:rPr>
              <w:t>Site Safety Commander</w:t>
            </w:r>
          </w:p>
        </w:tc>
        <w:tc>
          <w:tcPr>
            <w:tcW w:type="dxa" w:w="4464"/>
            <w:vAlign w:val="center"/>
          </w:tcPr>
          <w:p>
            <w:r/>
            <w:r>
              <w:rPr>
                <w:rFonts w:ascii="Mendl Sans Dusk Regular" w:hAnsi="Mendl Sans Dusk Regular" w:eastAsia="Mendl Sans Dusk Regular" w:cs="Mendl Sans Dusk Regular"/>
                <w:b w:val="0"/>
                <w:color w:val="202723"/>
                <w:sz w:val="17"/>
              </w:rPr>
              <w:t>Qualified site-level safety authority</w:t>
            </w:r>
          </w:p>
        </w:tc>
        <w:tc>
          <w:tcPr>
            <w:tcW w:type="dxa" w:w="3312"/>
            <w:vAlign w:val="center"/>
          </w:tcPr>
          <w:p>
            <w:r/>
            <w:r>
              <w:rPr>
                <w:rFonts w:ascii="Mendl Sans Dusk Regular" w:hAnsi="Mendl Sans Dusk Regular" w:eastAsia="Mendl Sans Dusk Regular" w:cs="Mendl Sans Dusk Regular"/>
                <w:b w:val="0"/>
                <w:color w:val="202723"/>
                <w:sz w:val="17"/>
              </w:rPr>
              <w:t>Internal MISH use; public copy uses Superintendent or safety leadership</w:t>
            </w:r>
          </w:p>
        </w:tc>
      </w:tr>
      <w:tr>
        <w:tc>
          <w:tcPr>
            <w:tcW w:type="dxa" w:w="2304"/>
            <w:vAlign w:val="center"/>
          </w:tcPr>
          <w:p>
            <w:r/>
            <w:r>
              <w:rPr>
                <w:rFonts w:ascii="Mendl Sans Dusk Regular" w:hAnsi="Mendl Sans Dusk Regular" w:eastAsia="Mendl Sans Dusk Regular" w:cs="Mendl Sans Dusk Regular"/>
                <w:b w:val="0"/>
                <w:color w:val="202723"/>
                <w:sz w:val="17"/>
              </w:rPr>
              <w:t>Safety Command</w:t>
            </w:r>
          </w:p>
        </w:tc>
        <w:tc>
          <w:tcPr>
            <w:tcW w:type="dxa" w:w="4464"/>
            <w:vAlign w:val="center"/>
          </w:tcPr>
          <w:p>
            <w:r/>
            <w:r>
              <w:rPr>
                <w:rFonts w:ascii="Mendl Sans Dusk Regular" w:hAnsi="Mendl Sans Dusk Regular" w:eastAsia="Mendl Sans Dusk Regular" w:cs="Mendl Sans Dusk Regular"/>
                <w:b w:val="0"/>
                <w:color w:val="202723"/>
                <w:sz w:val="17"/>
              </w:rPr>
              <w:t>Safety program and accountable leadership structure</w:t>
            </w:r>
          </w:p>
        </w:tc>
        <w:tc>
          <w:tcPr>
            <w:tcW w:type="dxa" w:w="3312"/>
            <w:vAlign w:val="center"/>
          </w:tcPr>
          <w:p>
            <w:r/>
            <w:r>
              <w:rPr>
                <w:rFonts w:ascii="Mendl Sans Dusk Regular" w:hAnsi="Mendl Sans Dusk Regular" w:eastAsia="Mendl Sans Dusk Regular" w:cs="Mendl Sans Dusk Regular"/>
                <w:b w:val="0"/>
                <w:color w:val="202723"/>
                <w:sz w:val="17"/>
              </w:rPr>
              <w:t>Safety page and internal program</w:t>
            </w:r>
          </w:p>
        </w:tc>
      </w:tr>
      <w:tr>
        <w:tc>
          <w:tcPr>
            <w:tcW w:type="dxa" w:w="2304"/>
            <w:vAlign w:val="center"/>
          </w:tcPr>
          <w:p>
            <w:r/>
            <w:r>
              <w:rPr>
                <w:rFonts w:ascii="Mendl Sans Dusk Regular" w:hAnsi="Mendl Sans Dusk Regular" w:eastAsia="Mendl Sans Dusk Regular" w:cs="Mendl Sans Dusk Regular"/>
                <w:b w:val="0"/>
                <w:color w:val="202723"/>
                <w:sz w:val="17"/>
              </w:rPr>
              <w:t>Mission Brief</w:t>
            </w:r>
          </w:p>
        </w:tc>
        <w:tc>
          <w:tcPr>
            <w:tcW w:type="dxa" w:w="4464"/>
            <w:vAlign w:val="center"/>
          </w:tcPr>
          <w:p>
            <w:r/>
            <w:r>
              <w:rPr>
                <w:rFonts w:ascii="Mendl Sans Dusk Regular" w:hAnsi="Mendl Sans Dusk Regular" w:eastAsia="Mendl Sans Dusk Regular" w:cs="Mendl Sans Dusk Regular"/>
                <w:b w:val="0"/>
                <w:color w:val="202723"/>
                <w:sz w:val="17"/>
              </w:rPr>
              <w:t>Pre-task or daily safety and production briefing</w:t>
            </w:r>
          </w:p>
        </w:tc>
        <w:tc>
          <w:tcPr>
            <w:tcW w:type="dxa" w:w="3312"/>
            <w:vAlign w:val="center"/>
          </w:tcPr>
          <w:p>
            <w:r/>
            <w:r>
              <w:rPr>
                <w:rFonts w:ascii="Mendl Sans Dusk Regular" w:hAnsi="Mendl Sans Dusk Regular" w:eastAsia="Mendl Sans Dusk Regular" w:cs="Mendl Sans Dusk Regular"/>
                <w:b w:val="0"/>
                <w:color w:val="202723"/>
                <w:sz w:val="17"/>
              </w:rPr>
              <w:t>Internal field use; explain publicly</w:t>
            </w:r>
          </w:p>
        </w:tc>
      </w:tr>
      <w:tr>
        <w:tc>
          <w:tcPr>
            <w:tcW w:type="dxa" w:w="2304"/>
            <w:vAlign w:val="center"/>
          </w:tcPr>
          <w:p>
            <w:r/>
            <w:r>
              <w:rPr>
                <w:rFonts w:ascii="Mendl Sans Dusk Regular" w:hAnsi="Mendl Sans Dusk Regular" w:eastAsia="Mendl Sans Dusk Regular" w:cs="Mendl Sans Dusk Regular"/>
                <w:b w:val="0"/>
                <w:color w:val="202723"/>
                <w:sz w:val="17"/>
              </w:rPr>
              <w:t>After-Action Review</w:t>
            </w:r>
          </w:p>
        </w:tc>
        <w:tc>
          <w:tcPr>
            <w:tcW w:type="dxa" w:w="4464"/>
            <w:vAlign w:val="center"/>
          </w:tcPr>
          <w:p>
            <w:r/>
            <w:r>
              <w:rPr>
                <w:rFonts w:ascii="Mendl Sans Dusk Regular" w:hAnsi="Mendl Sans Dusk Regular" w:eastAsia="Mendl Sans Dusk Regular" w:cs="Mendl Sans Dusk Regular"/>
                <w:b w:val="0"/>
                <w:color w:val="202723"/>
                <w:sz w:val="17"/>
              </w:rPr>
              <w:t>Structured lessons-learned review</w:t>
            </w:r>
          </w:p>
        </w:tc>
        <w:tc>
          <w:tcPr>
            <w:tcW w:type="dxa" w:w="3312"/>
            <w:vAlign w:val="center"/>
          </w:tcPr>
          <w:p>
            <w:r/>
            <w:r>
              <w:rPr>
                <w:rFonts w:ascii="Mendl Sans Dusk Regular" w:hAnsi="Mendl Sans Dusk Regular" w:eastAsia="Mendl Sans Dusk Regular" w:cs="Mendl Sans Dusk Regular"/>
                <w:b w:val="0"/>
                <w:color w:val="202723"/>
                <w:sz w:val="17"/>
              </w:rPr>
              <w:t>Closeout and continuous improvement</w:t>
            </w:r>
          </w:p>
        </w:tc>
      </w:tr>
      <w:tr>
        <w:tc>
          <w:tcPr>
            <w:tcW w:type="dxa" w:w="2304"/>
            <w:vAlign w:val="center"/>
          </w:tcPr>
          <w:p>
            <w:r/>
            <w:r>
              <w:rPr>
                <w:rFonts w:ascii="Mendl Sans Dusk Regular" w:hAnsi="Mendl Sans Dusk Regular" w:eastAsia="Mendl Sans Dusk Regular" w:cs="Mendl Sans Dusk Regular"/>
                <w:b w:val="0"/>
                <w:color w:val="202723"/>
                <w:sz w:val="17"/>
              </w:rPr>
              <w:t>Allied Network</w:t>
            </w:r>
          </w:p>
        </w:tc>
        <w:tc>
          <w:tcPr>
            <w:tcW w:type="dxa" w:w="4464"/>
            <w:vAlign w:val="center"/>
          </w:tcPr>
          <w:p>
            <w:r/>
            <w:r>
              <w:rPr>
                <w:rFonts w:ascii="Mendl Sans Dusk Regular" w:hAnsi="Mendl Sans Dusk Regular" w:eastAsia="Mendl Sans Dusk Regular" w:cs="Mendl Sans Dusk Regular"/>
                <w:b w:val="0"/>
                <w:color w:val="202723"/>
                <w:sz w:val="17"/>
              </w:rPr>
              <w:t>Qualified trade-partner and supplier network</w:t>
            </w:r>
          </w:p>
        </w:tc>
        <w:tc>
          <w:tcPr>
            <w:tcW w:type="dxa" w:w="3312"/>
            <w:vAlign w:val="center"/>
          </w:tcPr>
          <w:p>
            <w:r/>
            <w:r>
              <w:rPr>
                <w:rFonts w:ascii="Mendl Sans Dusk Regular" w:hAnsi="Mendl Sans Dusk Regular" w:eastAsia="Mendl Sans Dusk Regular" w:cs="Mendl Sans Dusk Regular"/>
                <w:b w:val="0"/>
                <w:color w:val="202723"/>
                <w:sz w:val="17"/>
              </w:rPr>
              <w:t>Trade partner page</w:t>
            </w:r>
          </w:p>
        </w:tc>
      </w:tr>
      <w:tr>
        <w:tc>
          <w:tcPr>
            <w:tcW w:type="dxa" w:w="2304"/>
            <w:vAlign w:val="center"/>
          </w:tcPr>
          <w:p>
            <w:r/>
            <w:r>
              <w:rPr>
                <w:rFonts w:ascii="Mendl Sans Dusk Regular" w:hAnsi="Mendl Sans Dusk Regular" w:eastAsia="Mendl Sans Dusk Regular" w:cs="Mendl Sans Dusk Regular"/>
                <w:b w:val="0"/>
                <w:color w:val="202723"/>
                <w:sz w:val="17"/>
              </w:rPr>
              <w:t>Client Partner</w:t>
            </w:r>
          </w:p>
        </w:tc>
        <w:tc>
          <w:tcPr>
            <w:tcW w:type="dxa" w:w="4464"/>
            <w:vAlign w:val="center"/>
          </w:tcPr>
          <w:p>
            <w:r/>
            <w:r>
              <w:rPr>
                <w:rFonts w:ascii="Mendl Sans Dusk Regular" w:hAnsi="Mendl Sans Dusk Regular" w:eastAsia="Mendl Sans Dusk Regular" w:cs="Mendl Sans Dusk Regular"/>
                <w:b w:val="0"/>
                <w:color w:val="202723"/>
                <w:sz w:val="17"/>
              </w:rPr>
              <w:t>Relationship term for a client or project owner</w:t>
            </w:r>
          </w:p>
        </w:tc>
        <w:tc>
          <w:tcPr>
            <w:tcW w:type="dxa" w:w="3312"/>
            <w:vAlign w:val="center"/>
          </w:tcPr>
          <w:p>
            <w:r/>
            <w:r>
              <w:rPr>
                <w:rFonts w:ascii="Mendl Sans Dusk Regular" w:hAnsi="Mendl Sans Dusk Regular" w:eastAsia="Mendl Sans Dusk Regular" w:cs="Mendl Sans Dusk Regular"/>
                <w:b w:val="0"/>
                <w:color w:val="202723"/>
                <w:sz w:val="17"/>
              </w:rPr>
              <w:t>Marketing only; contracts retain Owner or Client</w:t>
            </w:r>
          </w:p>
        </w:tc>
      </w:tr>
      <w:tr>
        <w:tc>
          <w:tcPr>
            <w:tcW w:type="dxa" w:w="2304"/>
            <w:vAlign w:val="center"/>
          </w:tcPr>
          <w:p>
            <w:r/>
            <w:r>
              <w:rPr>
                <w:rFonts w:ascii="Mendl Sans Dusk Regular" w:hAnsi="Mendl Sans Dusk Regular" w:eastAsia="Mendl Sans Dusk Regular" w:cs="Mendl Sans Dusk Regular"/>
                <w:b w:val="0"/>
                <w:color w:val="202723"/>
                <w:sz w:val="17"/>
              </w:rPr>
              <w:t>Trade Partner</w:t>
            </w:r>
          </w:p>
        </w:tc>
        <w:tc>
          <w:tcPr>
            <w:tcW w:type="dxa" w:w="4464"/>
            <w:vAlign w:val="center"/>
          </w:tcPr>
          <w:p>
            <w:r/>
            <w:r>
              <w:rPr>
                <w:rFonts w:ascii="Mendl Sans Dusk Regular" w:hAnsi="Mendl Sans Dusk Regular" w:eastAsia="Mendl Sans Dusk Regular" w:cs="Mendl Sans Dusk Regular"/>
                <w:b w:val="0"/>
                <w:color w:val="202723"/>
                <w:sz w:val="17"/>
              </w:rPr>
              <w:t>Relationship term for subcontractors and suppliers</w:t>
            </w:r>
          </w:p>
        </w:tc>
        <w:tc>
          <w:tcPr>
            <w:tcW w:type="dxa" w:w="3312"/>
            <w:vAlign w:val="center"/>
          </w:tcPr>
          <w:p>
            <w:r/>
            <w:r>
              <w:rPr>
                <w:rFonts w:ascii="Mendl Sans Dusk Regular" w:hAnsi="Mendl Sans Dusk Regular" w:eastAsia="Mendl Sans Dusk Regular" w:cs="Mendl Sans Dusk Regular"/>
                <w:b w:val="0"/>
                <w:color w:val="202723"/>
                <w:sz w:val="17"/>
              </w:rPr>
              <w:t>Marketing only; contracts retain legal party names</w:t>
            </w:r>
          </w:p>
        </w:tc>
      </w:tr>
      <w:tr>
        <w:tc>
          <w:tcPr>
            <w:tcW w:type="dxa" w:w="2304"/>
            <w:vAlign w:val="center"/>
          </w:tcPr>
          <w:p>
            <w:r/>
            <w:r>
              <w:rPr>
                <w:rFonts w:ascii="Mendl Sans Dusk Regular" w:hAnsi="Mendl Sans Dusk Regular" w:eastAsia="Mendl Sans Dusk Regular" w:cs="Mendl Sans Dusk Regular"/>
                <w:b w:val="0"/>
                <w:color w:val="202723"/>
                <w:sz w:val="17"/>
              </w:rPr>
              <w:t>Field-Proven</w:t>
            </w:r>
          </w:p>
        </w:tc>
        <w:tc>
          <w:tcPr>
            <w:tcW w:type="dxa" w:w="4464"/>
            <w:vAlign w:val="center"/>
          </w:tcPr>
          <w:p>
            <w:r/>
            <w:r>
              <w:rPr>
                <w:rFonts w:ascii="Mendl Sans Dusk Regular" w:hAnsi="Mendl Sans Dusk Regular" w:eastAsia="Mendl Sans Dusk Regular" w:cs="Mendl Sans Dusk Regular"/>
                <w:b w:val="0"/>
                <w:color w:val="202723"/>
                <w:sz w:val="17"/>
              </w:rPr>
              <w:t>Demonstrated through completed work or verified performance</w:t>
            </w:r>
          </w:p>
        </w:tc>
        <w:tc>
          <w:tcPr>
            <w:tcW w:type="dxa" w:w="3312"/>
            <w:vAlign w:val="center"/>
          </w:tcPr>
          <w:p>
            <w:r/>
            <w:r>
              <w:rPr>
                <w:rFonts w:ascii="Mendl Sans Dusk Regular" w:hAnsi="Mendl Sans Dusk Regular" w:eastAsia="Mendl Sans Dusk Regular" w:cs="Mendl Sans Dusk Regular"/>
                <w:b w:val="0"/>
                <w:color w:val="202723"/>
                <w:sz w:val="17"/>
              </w:rPr>
              <w:t>Marketing only when evidence exists</w:t>
            </w:r>
          </w:p>
        </w:tc>
      </w:tr>
      <w:tr>
        <w:tc>
          <w:tcPr>
            <w:tcW w:type="dxa" w:w="2304"/>
            <w:vAlign w:val="center"/>
          </w:tcPr>
          <w:p>
            <w:r/>
            <w:r>
              <w:rPr>
                <w:rFonts w:ascii="Mendl Sans Dusk Regular" w:hAnsi="Mendl Sans Dusk Regular" w:eastAsia="Mendl Sans Dusk Regular" w:cs="Mendl Sans Dusk Regular"/>
                <w:b w:val="0"/>
                <w:color w:val="202723"/>
                <w:sz w:val="17"/>
              </w:rPr>
              <w:t>Service-Earned Discipline</w:t>
            </w:r>
          </w:p>
        </w:tc>
        <w:tc>
          <w:tcPr>
            <w:tcW w:type="dxa" w:w="4464"/>
            <w:vAlign w:val="center"/>
          </w:tcPr>
          <w:p>
            <w:r/>
            <w:r>
              <w:rPr>
                <w:rFonts w:ascii="Mendl Sans Dusk Regular" w:hAnsi="Mendl Sans Dusk Regular" w:eastAsia="Mendl Sans Dusk Regular" w:cs="Mendl Sans Dusk Regular"/>
                <w:b w:val="0"/>
                <w:color w:val="202723"/>
                <w:sz w:val="17"/>
              </w:rPr>
              <w:t>Veteran-led preparation, responsibility, and follow-through</w:t>
            </w:r>
          </w:p>
        </w:tc>
        <w:tc>
          <w:tcPr>
            <w:tcW w:type="dxa" w:w="3312"/>
            <w:vAlign w:val="center"/>
          </w:tcPr>
          <w:p>
            <w:r/>
            <w:r>
              <w:rPr>
                <w:rFonts w:ascii="Mendl Sans Dusk Regular" w:hAnsi="Mendl Sans Dusk Regular" w:eastAsia="Mendl Sans Dusk Regular" w:cs="Mendl Sans Dusk Regular"/>
                <w:b w:val="0"/>
                <w:color w:val="202723"/>
                <w:sz w:val="17"/>
              </w:rPr>
              <w:t>Veteran, leadership, and culture messaging</w:t>
            </w:r>
          </w:p>
        </w:tc>
      </w:tr>
      <w:tr>
        <w:tc>
          <w:tcPr>
            <w:tcW w:type="dxa" w:w="2304"/>
            <w:vAlign w:val="center"/>
          </w:tcPr>
          <w:p>
            <w:r/>
            <w:r>
              <w:rPr>
                <w:rFonts w:ascii="Mendl Sans Dusk Regular" w:hAnsi="Mendl Sans Dusk Regular" w:eastAsia="Mendl Sans Dusk Regular" w:cs="Mendl Sans Dusk Regular"/>
                <w:b w:val="0"/>
                <w:color w:val="202723"/>
                <w:sz w:val="17"/>
              </w:rPr>
              <w:t>Zero-Gap Accountability</w:t>
            </w:r>
          </w:p>
        </w:tc>
        <w:tc>
          <w:tcPr>
            <w:tcW w:type="dxa" w:w="4464"/>
            <w:vAlign w:val="center"/>
          </w:tcPr>
          <w:p>
            <w:r/>
            <w:r>
              <w:rPr>
                <w:rFonts w:ascii="Mendl Sans Dusk Regular" w:hAnsi="Mendl Sans Dusk Regular" w:eastAsia="Mendl Sans Dusk Regular" w:cs="Mendl Sans Dusk Regular"/>
                <w:b w:val="0"/>
                <w:color w:val="202723"/>
                <w:sz w:val="17"/>
              </w:rPr>
              <w:t>Every required control has an owner and evidence</w:t>
            </w:r>
          </w:p>
        </w:tc>
        <w:tc>
          <w:tcPr>
            <w:tcW w:type="dxa" w:w="3312"/>
            <w:vAlign w:val="center"/>
          </w:tcPr>
          <w:p>
            <w:r/>
            <w:r>
              <w:rPr>
                <w:rFonts w:ascii="Mendl Sans Dusk Regular" w:hAnsi="Mendl Sans Dusk Regular" w:eastAsia="Mendl Sans Dusk Regular" w:cs="Mendl Sans Dusk Regular"/>
                <w:b w:val="0"/>
                <w:color w:val="202723"/>
                <w:sz w:val="17"/>
              </w:rPr>
              <w:t>Internal governance; use sparingly in public copy</w:t>
            </w:r>
          </w:p>
        </w:tc>
      </w:tr>
    </w:tbl>
    <w:p>
      <w:pPr>
        <w:pStyle w:val="Heading1"/>
      </w:pPr>
      <w:r>
        <w:t>5. Construction and PMBOK Translation</w:t>
      </w:r>
    </w:p>
    <w:tbl>
      <w:tblPr>
        <w:tblW w:type="auto" w:w="0"/>
        <w:tblLayout w:type="fixed"/>
        <w:tblLook w:firstColumn="1" w:firstRow="1" w:lastColumn="0" w:lastRow="0" w:noHBand="0" w:noVBand="1" w:val="04A0"/>
      </w:tblPr>
      <w:tblGrid>
        <w:gridCol w:w="3293"/>
        <w:gridCol w:w="3293"/>
        <w:gridCol w:w="3293"/>
      </w:tblGrid>
      <w:tr>
        <w:tc>
          <w:tcPr>
            <w:tcW w:type="dxa" w:w="2160"/>
            <w:vAlign w:val="center"/>
            <w:shd w:fill="386851"/>
          </w:tcPr>
          <w:p>
            <w:r/>
            <w:r>
              <w:rPr>
                <w:rFonts w:ascii="Mendl Sans Dusk Medium" w:hAnsi="Mendl Sans Dusk Medium" w:eastAsia="Mendl Sans Dusk Medium" w:cs="Mendl Sans Dusk Medium"/>
                <w:b/>
                <w:color w:val="FFFFFF"/>
                <w:sz w:val="17"/>
              </w:rPr>
              <w:t>Military-Brand Layer</w:t>
            </w:r>
          </w:p>
        </w:tc>
        <w:tc>
          <w:tcPr>
            <w:tcW w:type="dxa" w:w="4464"/>
            <w:vAlign w:val="center"/>
            <w:shd w:fill="386851"/>
          </w:tcPr>
          <w:p>
            <w:r/>
            <w:r>
              <w:rPr>
                <w:rFonts w:ascii="Mendl Sans Dusk Medium" w:hAnsi="Mendl Sans Dusk Medium" w:eastAsia="Mendl Sans Dusk Medium" w:cs="Mendl Sans Dusk Medium"/>
                <w:b/>
                <w:color w:val="FFFFFF"/>
                <w:sz w:val="17"/>
              </w:rPr>
              <w:t>Construction / Project-Control Anchor</w:t>
            </w:r>
          </w:p>
        </w:tc>
        <w:tc>
          <w:tcPr>
            <w:tcW w:type="dxa" w:w="3456"/>
            <w:vAlign w:val="center"/>
            <w:shd w:fill="386851"/>
          </w:tcPr>
          <w:p>
            <w:r/>
            <w:r>
              <w:rPr>
                <w:rFonts w:ascii="Mendl Sans Dusk Medium" w:hAnsi="Mendl Sans Dusk Medium" w:eastAsia="Mendl Sans Dusk Medium" w:cs="Mendl Sans Dusk Medium"/>
                <w:b/>
                <w:color w:val="FFFFFF"/>
                <w:sz w:val="17"/>
              </w:rPr>
              <w:t>Required Rule</w:t>
            </w:r>
          </w:p>
        </w:tc>
      </w:tr>
      <w:tr>
        <w:tc>
          <w:tcPr>
            <w:tcW w:type="dxa" w:w="2160"/>
            <w:vAlign w:val="center"/>
          </w:tcPr>
          <w:p>
            <w:r/>
            <w:r>
              <w:rPr>
                <w:rFonts w:ascii="Mendl Sans Dusk Regular" w:hAnsi="Mendl Sans Dusk Regular" w:eastAsia="Mendl Sans Dusk Regular" w:cs="Mendl Sans Dusk Regular"/>
                <w:b w:val="0"/>
                <w:color w:val="202723"/>
                <w:sz w:val="17"/>
              </w:rPr>
              <w:t>Mission Intake</w:t>
            </w:r>
          </w:p>
        </w:tc>
        <w:tc>
          <w:tcPr>
            <w:tcW w:type="dxa" w:w="4464"/>
            <w:vAlign w:val="center"/>
          </w:tcPr>
          <w:p>
            <w:r/>
            <w:r>
              <w:rPr>
                <w:rFonts w:ascii="Mendl Sans Dusk Regular" w:hAnsi="Mendl Sans Dusk Regular" w:eastAsia="Mendl Sans Dusk Regular" w:cs="Mendl Sans Dusk Regular"/>
                <w:b w:val="0"/>
                <w:color w:val="202723"/>
                <w:sz w:val="17"/>
              </w:rPr>
              <w:t>Initiating and opportunity intake</w:t>
            </w:r>
          </w:p>
        </w:tc>
        <w:tc>
          <w:tcPr>
            <w:tcW w:type="dxa" w:w="3456"/>
            <w:vAlign w:val="center"/>
          </w:tcPr>
          <w:p>
            <w:r/>
            <w:r>
              <w:rPr>
                <w:rFonts w:ascii="Mendl Sans Dusk Regular" w:hAnsi="Mendl Sans Dusk Regular" w:eastAsia="Mendl Sans Dusk Regular" w:cs="Mendl Sans Dusk Regular"/>
                <w:b w:val="0"/>
                <w:color w:val="202723"/>
                <w:sz w:val="17"/>
              </w:rPr>
              <w:t>Do not replace formal solicitation or contract terminology</w:t>
            </w:r>
          </w:p>
        </w:tc>
      </w:tr>
      <w:tr>
        <w:tc>
          <w:tcPr>
            <w:tcW w:type="dxa" w:w="2160"/>
            <w:vAlign w:val="center"/>
          </w:tcPr>
          <w:p>
            <w:r/>
            <w:r>
              <w:rPr>
                <w:rFonts w:ascii="Mendl Sans Dusk Regular" w:hAnsi="Mendl Sans Dusk Regular" w:eastAsia="Mendl Sans Dusk Regular" w:cs="Mendl Sans Dusk Regular"/>
                <w:b w:val="0"/>
                <w:color w:val="202723"/>
                <w:sz w:val="17"/>
              </w:rPr>
              <w:t>Operations Brief</w:t>
            </w:r>
          </w:p>
        </w:tc>
        <w:tc>
          <w:tcPr>
            <w:tcW w:type="dxa" w:w="4464"/>
            <w:vAlign w:val="center"/>
          </w:tcPr>
          <w:p>
            <w:r/>
            <w:r>
              <w:rPr>
                <w:rFonts w:ascii="Mendl Sans Dusk Regular" w:hAnsi="Mendl Sans Dusk Regular" w:eastAsia="Mendl Sans Dusk Regular" w:cs="Mendl Sans Dusk Regular"/>
                <w:b w:val="0"/>
                <w:color w:val="202723"/>
                <w:sz w:val="17"/>
              </w:rPr>
              <w:t>Project brief, scope narrative, and execution approach</w:t>
            </w:r>
          </w:p>
        </w:tc>
        <w:tc>
          <w:tcPr>
            <w:tcW w:type="dxa" w:w="3456"/>
            <w:vAlign w:val="center"/>
          </w:tcPr>
          <w:p>
            <w:r/>
            <w:r>
              <w:rPr>
                <w:rFonts w:ascii="Mendl Sans Dusk Regular" w:hAnsi="Mendl Sans Dusk Regular" w:eastAsia="Mendl Sans Dusk Regular" w:cs="Mendl Sans Dusk Regular"/>
                <w:b w:val="0"/>
                <w:color w:val="202723"/>
                <w:sz w:val="17"/>
              </w:rPr>
              <w:t>Identify assumptions and constraints</w:t>
            </w:r>
          </w:p>
        </w:tc>
      </w:tr>
      <w:tr>
        <w:tc>
          <w:tcPr>
            <w:tcW w:type="dxa" w:w="2160"/>
            <w:vAlign w:val="center"/>
          </w:tcPr>
          <w:p>
            <w:r/>
            <w:r>
              <w:rPr>
                <w:rFonts w:ascii="Mendl Sans Dusk Regular" w:hAnsi="Mendl Sans Dusk Regular" w:eastAsia="Mendl Sans Dusk Regular" w:cs="Mendl Sans Dusk Regular"/>
                <w:b w:val="0"/>
                <w:color w:val="202723"/>
                <w:sz w:val="17"/>
              </w:rPr>
              <w:t>Mission Parameters</w:t>
            </w:r>
          </w:p>
        </w:tc>
        <w:tc>
          <w:tcPr>
            <w:tcW w:type="dxa" w:w="4464"/>
            <w:vAlign w:val="center"/>
          </w:tcPr>
          <w:p>
            <w:r/>
            <w:r>
              <w:rPr>
                <w:rFonts w:ascii="Mendl Sans Dusk Regular" w:hAnsi="Mendl Sans Dusk Regular" w:eastAsia="Mendl Sans Dusk Regular" w:cs="Mendl Sans Dusk Regular"/>
                <w:b w:val="0"/>
                <w:color w:val="202723"/>
                <w:sz w:val="17"/>
              </w:rPr>
              <w:t>Scope, schedule, cost, quality, resources, and risk baselines</w:t>
            </w:r>
          </w:p>
        </w:tc>
        <w:tc>
          <w:tcPr>
            <w:tcW w:type="dxa" w:w="3456"/>
            <w:vAlign w:val="center"/>
          </w:tcPr>
          <w:p>
            <w:r/>
            <w:r>
              <w:rPr>
                <w:rFonts w:ascii="Mendl Sans Dusk Regular" w:hAnsi="Mendl Sans Dusk Regular" w:eastAsia="Mendl Sans Dusk Regular" w:cs="Mendl Sans Dusk Regular"/>
                <w:b w:val="0"/>
                <w:color w:val="202723"/>
                <w:sz w:val="17"/>
              </w:rPr>
              <w:t>Baseline changes require change control</w:t>
            </w:r>
          </w:p>
        </w:tc>
      </w:tr>
      <w:tr>
        <w:tc>
          <w:tcPr>
            <w:tcW w:type="dxa" w:w="2160"/>
            <w:vAlign w:val="center"/>
          </w:tcPr>
          <w:p>
            <w:r/>
            <w:r>
              <w:rPr>
                <w:rFonts w:ascii="Mendl Sans Dusk Regular" w:hAnsi="Mendl Sans Dusk Regular" w:eastAsia="Mendl Sans Dusk Regular" w:cs="Mendl Sans Dusk Regular"/>
                <w:b w:val="0"/>
                <w:color w:val="202723"/>
                <w:sz w:val="17"/>
              </w:rPr>
              <w:t>Deployment Plan</w:t>
            </w:r>
          </w:p>
        </w:tc>
        <w:tc>
          <w:tcPr>
            <w:tcW w:type="dxa" w:w="4464"/>
            <w:vAlign w:val="center"/>
          </w:tcPr>
          <w:p>
            <w:r/>
            <w:r>
              <w:rPr>
                <w:rFonts w:ascii="Mendl Sans Dusk Regular" w:hAnsi="Mendl Sans Dusk Regular" w:eastAsia="Mendl Sans Dusk Regular" w:cs="Mendl Sans Dusk Regular"/>
                <w:b w:val="0"/>
                <w:color w:val="202723"/>
                <w:sz w:val="17"/>
              </w:rPr>
              <w:t>Mobilization and site-logistics plan</w:t>
            </w:r>
          </w:p>
        </w:tc>
        <w:tc>
          <w:tcPr>
            <w:tcW w:type="dxa" w:w="3456"/>
            <w:vAlign w:val="center"/>
          </w:tcPr>
          <w:p>
            <w:r/>
            <w:r>
              <w:rPr>
                <w:rFonts w:ascii="Mendl Sans Dusk Regular" w:hAnsi="Mendl Sans Dusk Regular" w:eastAsia="Mendl Sans Dusk Regular" w:cs="Mendl Sans Dusk Regular"/>
                <w:b w:val="0"/>
                <w:color w:val="202723"/>
                <w:sz w:val="17"/>
              </w:rPr>
              <w:t>Include responsible parties and readiness criteria</w:t>
            </w:r>
          </w:p>
        </w:tc>
      </w:tr>
      <w:tr>
        <w:tc>
          <w:tcPr>
            <w:tcW w:type="dxa" w:w="2160"/>
            <w:vAlign w:val="center"/>
          </w:tcPr>
          <w:p>
            <w:r/>
            <w:r>
              <w:rPr>
                <w:rFonts w:ascii="Mendl Sans Dusk Regular" w:hAnsi="Mendl Sans Dusk Regular" w:eastAsia="Mendl Sans Dusk Regular" w:cs="Mendl Sans Dusk Regular"/>
                <w:b w:val="0"/>
                <w:color w:val="202723"/>
                <w:sz w:val="17"/>
              </w:rPr>
              <w:t>Command Loop</w:t>
            </w:r>
          </w:p>
        </w:tc>
        <w:tc>
          <w:tcPr>
            <w:tcW w:type="dxa" w:w="4464"/>
            <w:vAlign w:val="center"/>
          </w:tcPr>
          <w:p>
            <w:r/>
            <w:r>
              <w:rPr>
                <w:rFonts w:ascii="Mendl Sans Dusk Regular" w:hAnsi="Mendl Sans Dusk Regular" w:eastAsia="Mendl Sans Dusk Regular" w:cs="Mendl Sans Dusk Regular"/>
                <w:b w:val="0"/>
                <w:color w:val="202723"/>
                <w:sz w:val="17"/>
              </w:rPr>
              <w:t>Monitor, control, communicate, escalate, and close</w:t>
            </w:r>
          </w:p>
        </w:tc>
        <w:tc>
          <w:tcPr>
            <w:tcW w:type="dxa" w:w="3456"/>
            <w:vAlign w:val="center"/>
          </w:tcPr>
          <w:p>
            <w:r/>
            <w:r>
              <w:rPr>
                <w:rFonts w:ascii="Mendl Sans Dusk Regular" w:hAnsi="Mendl Sans Dusk Regular" w:eastAsia="Mendl Sans Dusk Regular" w:cs="Mendl Sans Dusk Regular"/>
                <w:b w:val="0"/>
                <w:color w:val="202723"/>
                <w:sz w:val="17"/>
              </w:rPr>
              <w:t>Maintain decision and evidence trail</w:t>
            </w:r>
          </w:p>
        </w:tc>
      </w:tr>
      <w:tr>
        <w:tc>
          <w:tcPr>
            <w:tcW w:type="dxa" w:w="2160"/>
            <w:vAlign w:val="center"/>
          </w:tcPr>
          <w:p>
            <w:r/>
            <w:r>
              <w:rPr>
                <w:rFonts w:ascii="Mendl Sans Dusk Regular" w:hAnsi="Mendl Sans Dusk Regular" w:eastAsia="Mendl Sans Dusk Regular" w:cs="Mendl Sans Dusk Regular"/>
                <w:b w:val="0"/>
                <w:color w:val="202723"/>
                <w:sz w:val="17"/>
              </w:rPr>
              <w:t>After-Action Review</w:t>
            </w:r>
          </w:p>
        </w:tc>
        <w:tc>
          <w:tcPr>
            <w:tcW w:type="dxa" w:w="4464"/>
            <w:vAlign w:val="center"/>
          </w:tcPr>
          <w:p>
            <w:r/>
            <w:r>
              <w:rPr>
                <w:rFonts w:ascii="Mendl Sans Dusk Regular" w:hAnsi="Mendl Sans Dusk Regular" w:eastAsia="Mendl Sans Dusk Regular" w:cs="Mendl Sans Dusk Regular"/>
                <w:b w:val="0"/>
                <w:color w:val="202723"/>
                <w:sz w:val="17"/>
              </w:rPr>
              <w:t>Lessons learned and closeout review</w:t>
            </w:r>
          </w:p>
        </w:tc>
        <w:tc>
          <w:tcPr>
            <w:tcW w:type="dxa" w:w="3456"/>
            <w:vAlign w:val="center"/>
          </w:tcPr>
          <w:p>
            <w:r/>
            <w:r>
              <w:rPr>
                <w:rFonts w:ascii="Mendl Sans Dusk Regular" w:hAnsi="Mendl Sans Dusk Regular" w:eastAsia="Mendl Sans Dusk Regular" w:cs="Mendl Sans Dusk Regular"/>
                <w:b w:val="0"/>
                <w:color w:val="202723"/>
                <w:sz w:val="17"/>
              </w:rPr>
              <w:t>Assign improvements to controlled documents or systems</w:t>
            </w:r>
          </w:p>
        </w:tc>
      </w:tr>
      <w:tr>
        <w:tc>
          <w:tcPr>
            <w:tcW w:type="dxa" w:w="2160"/>
            <w:vAlign w:val="center"/>
          </w:tcPr>
          <w:p>
            <w:r/>
            <w:r>
              <w:rPr>
                <w:rFonts w:ascii="Mendl Sans Dusk Regular" w:hAnsi="Mendl Sans Dusk Regular" w:eastAsia="Mendl Sans Dusk Regular" w:cs="Mendl Sans Dusk Regular"/>
                <w:b w:val="0"/>
                <w:color w:val="202723"/>
                <w:sz w:val="17"/>
              </w:rPr>
              <w:t>Mission-Ready Handoff</w:t>
            </w:r>
          </w:p>
        </w:tc>
        <w:tc>
          <w:tcPr>
            <w:tcW w:type="dxa" w:w="4464"/>
            <w:vAlign w:val="center"/>
          </w:tcPr>
          <w:p>
            <w:r/>
            <w:r>
              <w:rPr>
                <w:rFonts w:ascii="Mendl Sans Dusk Regular" w:hAnsi="Mendl Sans Dusk Regular" w:eastAsia="Mendl Sans Dusk Regular" w:cs="Mendl Sans Dusk Regular"/>
                <w:b w:val="0"/>
                <w:color w:val="202723"/>
                <w:sz w:val="17"/>
              </w:rPr>
              <w:t>Formal Preconstruction-to-Operations transfer</w:t>
            </w:r>
          </w:p>
        </w:tc>
        <w:tc>
          <w:tcPr>
            <w:tcW w:type="dxa" w:w="3456"/>
            <w:vAlign w:val="center"/>
          </w:tcPr>
          <w:p>
            <w:r/>
            <w:r>
              <w:rPr>
                <w:rFonts w:ascii="Mendl Sans Dusk Regular" w:hAnsi="Mendl Sans Dusk Regular" w:eastAsia="Mendl Sans Dusk Regular" w:cs="Mendl Sans Dusk Regular"/>
                <w:b w:val="0"/>
                <w:color w:val="202723"/>
                <w:sz w:val="17"/>
              </w:rPr>
              <w:t>Requires acceptance criteria and accountable receiver</w:t>
            </w:r>
          </w:p>
        </w:tc>
      </w:tr>
    </w:tbl>
    <w:p>
      <w:pPr>
        <w:pStyle w:val="Heading1"/>
      </w:pPr>
      <w:r>
        <w:t>6. Phrase Bank</w:t>
      </w:r>
    </w:p>
    <w:p>
      <w:pPr>
        <w:pStyle w:val="ListBullet"/>
      </w:pPr>
      <w:r>
        <w:t>Plan with purpose. Build with discipline. Close with accountability.</w:t>
      </w:r>
    </w:p>
    <w:p>
      <w:pPr>
        <w:pStyle w:val="ListBullet"/>
      </w:pPr>
      <w:r>
        <w:t>Clear scope. Controlled sequence. Accountable delivery.</w:t>
      </w:r>
    </w:p>
    <w:p>
      <w:pPr>
        <w:pStyle w:val="ListBullet"/>
      </w:pPr>
      <w:r>
        <w:t>Prepared before mobilization. Accountable through closeout.</w:t>
      </w:r>
    </w:p>
    <w:p>
      <w:pPr>
        <w:pStyle w:val="ListBullet"/>
      </w:pPr>
      <w:r>
        <w:t>Field-ready planning for real-world construction.</w:t>
      </w:r>
    </w:p>
    <w:p>
      <w:pPr>
        <w:pStyle w:val="ListBullet"/>
      </w:pPr>
      <w:r>
        <w:t>The mission is clear: safe work, quality execution, trusted relationships.</w:t>
      </w:r>
    </w:p>
    <w:p>
      <w:pPr>
        <w:pStyle w:val="ListBullet"/>
      </w:pPr>
      <w:r>
        <w:t>Built for the field. Documented for the record. Delivered for the client.</w:t>
      </w:r>
    </w:p>
    <w:p>
      <w:pPr>
        <w:pStyle w:val="ListBullet"/>
      </w:pPr>
      <w:r>
        <w:t>Decisions move faster when the facts stay visible.</w:t>
      </w:r>
    </w:p>
    <w:p>
      <w:pPr>
        <w:pStyle w:val="ListBullet"/>
      </w:pPr>
      <w:r>
        <w:t>Strong handoffs build strong projects.</w:t>
      </w:r>
    </w:p>
    <w:p>
      <w:pPr>
        <w:pStyle w:val="ListBullet"/>
      </w:pPr>
      <w:r>
        <w:t>Safety is command responsibility at every level.</w:t>
      </w:r>
    </w:p>
    <w:p>
      <w:pPr>
        <w:pStyle w:val="ListBullet"/>
      </w:pPr>
      <w:r>
        <w:t>Earn the trust. Execute the work. Stand behind the result.</w:t>
      </w:r>
    </w:p>
    <w:p>
      <w:pPr>
        <w:pStyle w:val="ListBullet"/>
      </w:pPr>
      <w:r>
        <w:t>Veteran-led discipline. Construction-grounded execution.</w:t>
      </w:r>
    </w:p>
    <w:p>
      <w:pPr>
        <w:pStyle w:val="ListBullet"/>
      </w:pPr>
      <w:r>
        <w:t>Relationship builders. Number crunchers. Field executors. One accountable team.</w:t>
      </w:r>
    </w:p>
    <w:p>
      <w:pPr>
        <w:pStyle w:val="ListBullet"/>
      </w:pPr>
      <w:r>
        <w:t>See the scope. Know the risk. Own the outcome.</w:t>
      </w:r>
    </w:p>
    <w:p>
      <w:pPr>
        <w:pStyle w:val="ListBullet"/>
      </w:pPr>
      <w:r>
        <w:t>Ready on paper. Ready in the field.</w:t>
      </w:r>
    </w:p>
    <w:p>
      <w:pPr>
        <w:pStyle w:val="ListBullet"/>
      </w:pPr>
      <w:r>
        <w:t>Close the loop before you call it complete.</w:t>
      </w:r>
    </w:p>
    <w:p>
      <w:pPr>
        <w:pStyle w:val="Heading1"/>
      </w:pPr>
      <w:r>
        <w:t>7. Prohibited and Restricted Language</w:t>
      </w:r>
    </w:p>
    <w:tbl>
      <w:tblPr>
        <w:tblW w:type="auto" w:w="0"/>
        <w:tblLayout w:type="fixed"/>
        <w:tblLook w:firstColumn="1" w:firstRow="1" w:lastColumn="0" w:lastRow="0" w:noHBand="0" w:noVBand="1" w:val="04A0"/>
      </w:tblPr>
      <w:tblGrid>
        <w:gridCol w:w="3293"/>
        <w:gridCol w:w="3293"/>
        <w:gridCol w:w="3293"/>
      </w:tblGrid>
      <w:tr>
        <w:tc>
          <w:tcPr>
            <w:tcW w:type="dxa" w:w="2448"/>
            <w:vAlign w:val="center"/>
            <w:shd w:fill="386851"/>
          </w:tcPr>
          <w:p>
            <w:r/>
            <w:r>
              <w:rPr>
                <w:rFonts w:ascii="Mendl Sans Dusk Medium" w:hAnsi="Mendl Sans Dusk Medium" w:eastAsia="Mendl Sans Dusk Medium" w:cs="Mendl Sans Dusk Medium"/>
                <w:b/>
                <w:color w:val="FFFFFF"/>
                <w:sz w:val="17"/>
              </w:rPr>
              <w:t>Do Not Use Publicly</w:t>
            </w:r>
          </w:p>
        </w:tc>
        <w:tc>
          <w:tcPr>
            <w:tcW w:type="dxa" w:w="4464"/>
            <w:vAlign w:val="center"/>
            <w:shd w:fill="386851"/>
          </w:tcPr>
          <w:p>
            <w:r/>
            <w:r>
              <w:rPr>
                <w:rFonts w:ascii="Mendl Sans Dusk Medium" w:hAnsi="Mendl Sans Dusk Medium" w:eastAsia="Mendl Sans Dusk Medium" w:cs="Mendl Sans Dusk Medium"/>
                <w:b/>
                <w:color w:val="FFFFFF"/>
                <w:sz w:val="17"/>
              </w:rPr>
              <w:t>Reason</w:t>
            </w:r>
          </w:p>
        </w:tc>
        <w:tc>
          <w:tcPr>
            <w:tcW w:type="dxa" w:w="3168"/>
            <w:vAlign w:val="center"/>
            <w:shd w:fill="386851"/>
          </w:tcPr>
          <w:p>
            <w:r/>
            <w:r>
              <w:rPr>
                <w:rFonts w:ascii="Mendl Sans Dusk Medium" w:hAnsi="Mendl Sans Dusk Medium" w:eastAsia="Mendl Sans Dusk Medium" w:cs="Mendl Sans Dusk Medium"/>
                <w:b/>
                <w:color w:val="FFFFFF"/>
                <w:sz w:val="17"/>
              </w:rPr>
              <w:t>Use Instead</w:t>
            </w:r>
          </w:p>
        </w:tc>
      </w:tr>
      <w:tr>
        <w:tc>
          <w:tcPr>
            <w:tcW w:type="dxa" w:w="2448"/>
            <w:vAlign w:val="center"/>
          </w:tcPr>
          <w:p>
            <w:r/>
            <w:r>
              <w:rPr>
                <w:rFonts w:ascii="Mendl Sans Dusk Regular" w:hAnsi="Mendl Sans Dusk Regular" w:eastAsia="Mendl Sans Dusk Regular" w:cs="Mendl Sans Dusk Regular"/>
                <w:b w:val="0"/>
                <w:color w:val="202723"/>
                <w:sz w:val="17"/>
              </w:rPr>
              <w:t>Infiltrate, capture, conquer, dominate</w:t>
            </w:r>
          </w:p>
        </w:tc>
        <w:tc>
          <w:tcPr>
            <w:tcW w:type="dxa" w:w="4464"/>
            <w:vAlign w:val="center"/>
          </w:tcPr>
          <w:p>
            <w:r/>
            <w:r>
              <w:rPr>
                <w:rFonts w:ascii="Mendl Sans Dusk Regular" w:hAnsi="Mendl Sans Dusk Regular" w:eastAsia="Mendl Sans Dusk Regular" w:cs="Mendl Sans Dusk Regular"/>
                <w:b w:val="0"/>
                <w:color w:val="202723"/>
                <w:sz w:val="17"/>
              </w:rPr>
              <w:t>Aggressive and inconsistent with community partnership</w:t>
            </w:r>
          </w:p>
        </w:tc>
        <w:tc>
          <w:tcPr>
            <w:tcW w:type="dxa" w:w="3168"/>
            <w:vAlign w:val="center"/>
          </w:tcPr>
          <w:p>
            <w:r/>
            <w:r>
              <w:rPr>
                <w:rFonts w:ascii="Mendl Sans Dusk Regular" w:hAnsi="Mendl Sans Dusk Regular" w:eastAsia="Mendl Sans Dusk Regular" w:cs="Mendl Sans Dusk Regular"/>
                <w:b w:val="0"/>
                <w:color w:val="202723"/>
                <w:sz w:val="17"/>
              </w:rPr>
              <w:t>Engage, enter, build relationships, earn trust</w:t>
            </w:r>
          </w:p>
        </w:tc>
      </w:tr>
      <w:tr>
        <w:tc>
          <w:tcPr>
            <w:tcW w:type="dxa" w:w="2448"/>
            <w:vAlign w:val="center"/>
          </w:tcPr>
          <w:p>
            <w:r/>
            <w:r>
              <w:rPr>
                <w:rFonts w:ascii="Mendl Sans Dusk Regular" w:hAnsi="Mendl Sans Dusk Regular" w:eastAsia="Mendl Sans Dusk Regular" w:cs="Mendl Sans Dusk Regular"/>
                <w:b w:val="0"/>
                <w:color w:val="202723"/>
                <w:sz w:val="17"/>
              </w:rPr>
              <w:t>Enemy, target, kill chain, weapons-grade</w:t>
            </w:r>
          </w:p>
        </w:tc>
        <w:tc>
          <w:tcPr>
            <w:tcW w:type="dxa" w:w="4464"/>
            <w:vAlign w:val="center"/>
          </w:tcPr>
          <w:p>
            <w:r/>
            <w:r>
              <w:rPr>
                <w:rFonts w:ascii="Mendl Sans Dusk Regular" w:hAnsi="Mendl Sans Dusk Regular" w:eastAsia="Mendl Sans Dusk Regular" w:cs="Mendl Sans Dusk Regular"/>
                <w:b w:val="0"/>
                <w:color w:val="202723"/>
                <w:sz w:val="17"/>
              </w:rPr>
              <w:t>Combat framing creates reputational and legal risk</w:t>
            </w:r>
          </w:p>
        </w:tc>
        <w:tc>
          <w:tcPr>
            <w:tcW w:type="dxa" w:w="3168"/>
            <w:vAlign w:val="center"/>
          </w:tcPr>
          <w:p>
            <w:r/>
            <w:r>
              <w:rPr>
                <w:rFonts w:ascii="Mendl Sans Dusk Regular" w:hAnsi="Mendl Sans Dusk Regular" w:eastAsia="Mendl Sans Dusk Regular" w:cs="Mendl Sans Dusk Regular"/>
                <w:b w:val="0"/>
                <w:color w:val="202723"/>
                <w:sz w:val="17"/>
              </w:rPr>
              <w:t>Competitor, audience, decision path, disciplined</w:t>
            </w:r>
          </w:p>
        </w:tc>
      </w:tr>
      <w:tr>
        <w:tc>
          <w:tcPr>
            <w:tcW w:type="dxa" w:w="2448"/>
            <w:vAlign w:val="center"/>
          </w:tcPr>
          <w:p>
            <w:r/>
            <w:r>
              <w:rPr>
                <w:rFonts w:ascii="Mendl Sans Dusk Regular" w:hAnsi="Mendl Sans Dusk Regular" w:eastAsia="Mendl Sans Dusk Regular" w:cs="Mendl Sans Dusk Regular"/>
                <w:b w:val="0"/>
                <w:color w:val="202723"/>
                <w:sz w:val="17"/>
              </w:rPr>
              <w:t>Boots on the ground</w:t>
            </w:r>
          </w:p>
        </w:tc>
        <w:tc>
          <w:tcPr>
            <w:tcW w:type="dxa" w:w="4464"/>
            <w:vAlign w:val="center"/>
          </w:tcPr>
          <w:p>
            <w:r/>
            <w:r>
              <w:rPr>
                <w:rFonts w:ascii="Mendl Sans Dusk Regular" w:hAnsi="Mendl Sans Dusk Regular" w:eastAsia="Mendl Sans Dusk Regular" w:cs="Mendl Sans Dusk Regular"/>
                <w:b w:val="0"/>
                <w:color w:val="202723"/>
                <w:sz w:val="17"/>
              </w:rPr>
              <w:t>Cliche and may minimize military service</w:t>
            </w:r>
          </w:p>
        </w:tc>
        <w:tc>
          <w:tcPr>
            <w:tcW w:type="dxa" w:w="3168"/>
            <w:vAlign w:val="center"/>
          </w:tcPr>
          <w:p>
            <w:r/>
            <w:r>
              <w:rPr>
                <w:rFonts w:ascii="Mendl Sans Dusk Regular" w:hAnsi="Mendl Sans Dusk Regular" w:eastAsia="Mendl Sans Dusk Regular" w:cs="Mendl Sans Dusk Regular"/>
                <w:b w:val="0"/>
                <w:color w:val="202723"/>
                <w:sz w:val="17"/>
              </w:rPr>
              <w:t>Field team, site leadership, field presence</w:t>
            </w:r>
          </w:p>
        </w:tc>
      </w:tr>
      <w:tr>
        <w:tc>
          <w:tcPr>
            <w:tcW w:type="dxa" w:w="2448"/>
            <w:vAlign w:val="center"/>
          </w:tcPr>
          <w:p>
            <w:r/>
            <w:r>
              <w:rPr>
                <w:rFonts w:ascii="Mendl Sans Dusk Regular" w:hAnsi="Mendl Sans Dusk Regular" w:eastAsia="Mendl Sans Dusk Regular" w:cs="Mendl Sans Dusk Regular"/>
                <w:b w:val="0"/>
                <w:color w:val="202723"/>
                <w:sz w:val="17"/>
              </w:rPr>
              <w:t>War room</w:t>
            </w:r>
          </w:p>
        </w:tc>
        <w:tc>
          <w:tcPr>
            <w:tcW w:type="dxa" w:w="4464"/>
            <w:vAlign w:val="center"/>
          </w:tcPr>
          <w:p>
            <w:r/>
            <w:r>
              <w:rPr>
                <w:rFonts w:ascii="Mendl Sans Dusk Regular" w:hAnsi="Mendl Sans Dusk Regular" w:eastAsia="Mendl Sans Dusk Regular" w:cs="Mendl Sans Dusk Regular"/>
                <w:b w:val="0"/>
                <w:color w:val="202723"/>
                <w:sz w:val="17"/>
              </w:rPr>
              <w:t>Can sound theatrical outside emergencies</w:t>
            </w:r>
          </w:p>
        </w:tc>
        <w:tc>
          <w:tcPr>
            <w:tcW w:type="dxa" w:w="3168"/>
            <w:vAlign w:val="center"/>
          </w:tcPr>
          <w:p>
            <w:r/>
            <w:r>
              <w:rPr>
                <w:rFonts w:ascii="Mendl Sans Dusk Regular" w:hAnsi="Mendl Sans Dusk Regular" w:eastAsia="Mendl Sans Dusk Regular" w:cs="Mendl Sans Dusk Regular"/>
                <w:b w:val="0"/>
                <w:color w:val="202723"/>
                <w:sz w:val="17"/>
              </w:rPr>
              <w:t>Command Center, coordination room, control meeting</w:t>
            </w:r>
          </w:p>
        </w:tc>
      </w:tr>
      <w:tr>
        <w:tc>
          <w:tcPr>
            <w:tcW w:type="dxa" w:w="2448"/>
            <w:vAlign w:val="center"/>
          </w:tcPr>
          <w:p>
            <w:r/>
            <w:r>
              <w:rPr>
                <w:rFonts w:ascii="Mendl Sans Dusk Regular" w:hAnsi="Mendl Sans Dusk Regular" w:eastAsia="Mendl Sans Dusk Regular" w:cs="Mendl Sans Dusk Regular"/>
                <w:b w:val="0"/>
                <w:color w:val="202723"/>
                <w:sz w:val="17"/>
              </w:rPr>
              <w:t>Sub-Operator in contracts</w:t>
            </w:r>
          </w:p>
        </w:tc>
        <w:tc>
          <w:tcPr>
            <w:tcW w:type="dxa" w:w="4464"/>
            <w:vAlign w:val="center"/>
          </w:tcPr>
          <w:p>
            <w:r/>
            <w:r>
              <w:rPr>
                <w:rFonts w:ascii="Mendl Sans Dusk Regular" w:hAnsi="Mendl Sans Dusk Regular" w:eastAsia="Mendl Sans Dusk Regular" w:cs="Mendl Sans Dusk Regular"/>
                <w:b w:val="0"/>
                <w:color w:val="202723"/>
                <w:sz w:val="17"/>
              </w:rPr>
              <w:t>Does not replace the legal subcontractor relationship</w:t>
            </w:r>
          </w:p>
        </w:tc>
        <w:tc>
          <w:tcPr>
            <w:tcW w:type="dxa" w:w="3168"/>
            <w:vAlign w:val="center"/>
          </w:tcPr>
          <w:p>
            <w:r/>
            <w:r>
              <w:rPr>
                <w:rFonts w:ascii="Mendl Sans Dusk Regular" w:hAnsi="Mendl Sans Dusk Regular" w:eastAsia="Mendl Sans Dusk Regular" w:cs="Mendl Sans Dusk Regular"/>
                <w:b w:val="0"/>
                <w:color w:val="202723"/>
                <w:sz w:val="17"/>
              </w:rPr>
              <w:t>Subcontractor; Trade Partner in marketing</w:t>
            </w:r>
          </w:p>
        </w:tc>
      </w:tr>
      <w:tr>
        <w:tc>
          <w:tcPr>
            <w:tcW w:type="dxa" w:w="2448"/>
            <w:vAlign w:val="center"/>
          </w:tcPr>
          <w:p>
            <w:r/>
            <w:r>
              <w:rPr>
                <w:rFonts w:ascii="Mendl Sans Dusk Regular" w:hAnsi="Mendl Sans Dusk Regular" w:eastAsia="Mendl Sans Dusk Regular" w:cs="Mendl Sans Dusk Regular"/>
                <w:b w:val="0"/>
                <w:color w:val="202723"/>
                <w:sz w:val="17"/>
              </w:rPr>
              <w:t>Guaranteed schedule or zero risk</w:t>
            </w:r>
          </w:p>
        </w:tc>
        <w:tc>
          <w:tcPr>
            <w:tcW w:type="dxa" w:w="4464"/>
            <w:vAlign w:val="center"/>
          </w:tcPr>
          <w:p>
            <w:r/>
            <w:r>
              <w:rPr>
                <w:rFonts w:ascii="Mendl Sans Dusk Regular" w:hAnsi="Mendl Sans Dusk Regular" w:eastAsia="Mendl Sans Dusk Regular" w:cs="Mendl Sans Dusk Regular"/>
                <w:b w:val="0"/>
                <w:color w:val="202723"/>
                <w:sz w:val="17"/>
              </w:rPr>
              <w:t>Unverifiable absolute claim</w:t>
            </w:r>
          </w:p>
        </w:tc>
        <w:tc>
          <w:tcPr>
            <w:tcW w:type="dxa" w:w="3168"/>
            <w:vAlign w:val="center"/>
          </w:tcPr>
          <w:p>
            <w:r/>
            <w:r>
              <w:rPr>
                <w:rFonts w:ascii="Mendl Sans Dusk Regular" w:hAnsi="Mendl Sans Dusk Regular" w:eastAsia="Mendl Sans Dusk Regular" w:cs="Mendl Sans Dusk Regular"/>
                <w:b w:val="0"/>
                <w:color w:val="202723"/>
                <w:sz w:val="17"/>
              </w:rPr>
              <w:t>Controlled schedule; risk-managed delivery</w:t>
            </w:r>
          </w:p>
        </w:tc>
      </w:tr>
      <w:tr>
        <w:tc>
          <w:tcPr>
            <w:tcW w:type="dxa" w:w="2448"/>
            <w:vAlign w:val="center"/>
          </w:tcPr>
          <w:p>
            <w:r/>
            <w:r>
              <w:rPr>
                <w:rFonts w:ascii="Mendl Sans Dusk Regular" w:hAnsi="Mendl Sans Dusk Regular" w:eastAsia="Mendl Sans Dusk Regular" w:cs="Mendl Sans Dusk Regular"/>
                <w:b w:val="0"/>
                <w:color w:val="202723"/>
                <w:sz w:val="17"/>
              </w:rPr>
              <w:t>Best, safest, unmatched</w:t>
            </w:r>
          </w:p>
        </w:tc>
        <w:tc>
          <w:tcPr>
            <w:tcW w:type="dxa" w:w="4464"/>
            <w:vAlign w:val="center"/>
          </w:tcPr>
          <w:p>
            <w:r/>
            <w:r>
              <w:rPr>
                <w:rFonts w:ascii="Mendl Sans Dusk Regular" w:hAnsi="Mendl Sans Dusk Regular" w:eastAsia="Mendl Sans Dusk Regular" w:cs="Mendl Sans Dusk Regular"/>
                <w:b w:val="0"/>
                <w:color w:val="202723"/>
                <w:sz w:val="17"/>
              </w:rPr>
              <w:t>Requires defensible comparative evidence</w:t>
            </w:r>
          </w:p>
        </w:tc>
        <w:tc>
          <w:tcPr>
            <w:tcW w:type="dxa" w:w="3168"/>
            <w:vAlign w:val="center"/>
          </w:tcPr>
          <w:p>
            <w:r/>
            <w:r>
              <w:rPr>
                <w:rFonts w:ascii="Mendl Sans Dusk Regular" w:hAnsi="Mendl Sans Dusk Regular" w:eastAsia="Mendl Sans Dusk Regular" w:cs="Mendl Sans Dusk Regular"/>
                <w:b w:val="0"/>
                <w:color w:val="202723"/>
                <w:sz w:val="17"/>
              </w:rPr>
              <w:t>Verified performance statement with source</w:t>
            </w:r>
          </w:p>
        </w:tc>
      </w:tr>
    </w:tbl>
    <w:p>
      <w:pPr>
        <w:pStyle w:val="Heading1"/>
      </w:pPr>
      <w:r>
        <w:t>8. Website Page Language Matrix</w:t>
      </w:r>
    </w:p>
    <w:tbl>
      <w:tblPr>
        <w:tblW w:type="auto" w:w="0"/>
        <w:tblLayout w:type="fixed"/>
        <w:tblLook w:firstColumn="1" w:firstRow="1" w:lastColumn="0" w:lastRow="0" w:noHBand="0" w:noVBand="1" w:val="04A0"/>
      </w:tblPr>
      <w:tblGrid>
        <w:gridCol w:w="3293"/>
        <w:gridCol w:w="3293"/>
        <w:gridCol w:w="3293"/>
      </w:tblGrid>
      <w:tr>
        <w:tc>
          <w:tcPr>
            <w:tcW w:type="dxa" w:w="2088"/>
            <w:vAlign w:val="center"/>
            <w:shd w:fill="386851"/>
          </w:tcPr>
          <w:p>
            <w:r/>
            <w:r>
              <w:rPr>
                <w:rFonts w:ascii="Mendl Sans Dusk Medium" w:hAnsi="Mendl Sans Dusk Medium" w:eastAsia="Mendl Sans Dusk Medium" w:cs="Mendl Sans Dusk Medium"/>
                <w:b/>
                <w:color w:val="FFFFFF"/>
                <w:sz w:val="17"/>
              </w:rPr>
              <w:t>Page</w:t>
            </w:r>
          </w:p>
        </w:tc>
        <w:tc>
          <w:tcPr>
            <w:tcW w:type="dxa" w:w="3240"/>
            <w:vAlign w:val="center"/>
            <w:shd w:fill="386851"/>
          </w:tcPr>
          <w:p>
            <w:r/>
            <w:r>
              <w:rPr>
                <w:rFonts w:ascii="Mendl Sans Dusk Medium" w:hAnsi="Mendl Sans Dusk Medium" w:eastAsia="Mendl Sans Dusk Medium" w:cs="Mendl Sans Dusk Medium"/>
                <w:b/>
                <w:color w:val="FFFFFF"/>
                <w:sz w:val="17"/>
              </w:rPr>
              <w:t>Page Line</w:t>
            </w:r>
          </w:p>
        </w:tc>
        <w:tc>
          <w:tcPr>
            <w:tcW w:type="dxa" w:w="5256"/>
            <w:vAlign w:val="center"/>
            <w:shd w:fill="386851"/>
          </w:tcPr>
          <w:p>
            <w:r/>
            <w:r>
              <w:rPr>
                <w:rFonts w:ascii="Mendl Sans Dusk Medium" w:hAnsi="Mendl Sans Dusk Medium" w:eastAsia="Mendl Sans Dusk Medium" w:cs="Mendl Sans Dusk Medium"/>
                <w:b/>
                <w:color w:val="FFFFFF"/>
                <w:sz w:val="17"/>
              </w:rPr>
              <w:t>Draft Word From the General</w:t>
            </w:r>
          </w:p>
        </w:tc>
      </w:tr>
      <w:tr>
        <w:tc>
          <w:tcPr>
            <w:tcW w:type="dxa" w:w="2088"/>
            <w:vAlign w:val="center"/>
          </w:tcPr>
          <w:p>
            <w:r/>
            <w:r>
              <w:rPr>
                <w:rFonts w:ascii="Mendl Sans Dusk Regular" w:hAnsi="Mendl Sans Dusk Regular" w:eastAsia="Mendl Sans Dusk Regular" w:cs="Mendl Sans Dusk Regular"/>
                <w:b w:val="0"/>
                <w:color w:val="202723"/>
                <w:sz w:val="17"/>
              </w:rPr>
              <w:t>/</w:t>
            </w:r>
          </w:p>
        </w:tc>
        <w:tc>
          <w:tcPr>
            <w:tcW w:type="dxa" w:w="3240"/>
            <w:vAlign w:val="center"/>
          </w:tcPr>
          <w:p>
            <w:r/>
            <w:r>
              <w:rPr>
                <w:rFonts w:ascii="Mendl Sans Dusk Regular" w:hAnsi="Mendl Sans Dusk Regular" w:eastAsia="Mendl Sans Dusk Regular" w:cs="Mendl Sans Dusk Regular"/>
                <w:b w:val="0"/>
                <w:color w:val="202723"/>
                <w:sz w:val="17"/>
              </w:rPr>
              <w:t>Built on Quality, Backed by Trust.</w:t>
            </w:r>
          </w:p>
        </w:tc>
        <w:tc>
          <w:tcPr>
            <w:tcW w:type="dxa" w:w="5256"/>
            <w:vAlign w:val="center"/>
          </w:tcPr>
          <w:p>
            <w:r/>
            <w:r>
              <w:rPr>
                <w:rFonts w:ascii="Mendl Sans Dusk Regular" w:hAnsi="Mendl Sans Dusk Regular" w:eastAsia="Mendl Sans Dusk Regular" w:cs="Mendl Sans Dusk Regular"/>
                <w:b w:val="0"/>
                <w:color w:val="202723"/>
                <w:sz w:val="17"/>
              </w:rPr>
              <w:t>A project earns trust the same way a crew does: show up prepared, keep your word, and finish what you started.</w:t>
            </w:r>
          </w:p>
        </w:tc>
      </w:tr>
      <w:tr>
        <w:tc>
          <w:tcPr>
            <w:tcW w:type="dxa" w:w="2088"/>
            <w:vAlign w:val="center"/>
          </w:tcPr>
          <w:p>
            <w:r/>
            <w:r>
              <w:rPr>
                <w:rFonts w:ascii="Mendl Sans Dusk Regular" w:hAnsi="Mendl Sans Dusk Regular" w:eastAsia="Mendl Sans Dusk Regular" w:cs="Mendl Sans Dusk Regular"/>
                <w:b w:val="0"/>
                <w:color w:val="202723"/>
                <w:sz w:val="17"/>
              </w:rPr>
              <w:t>/about</w:t>
            </w:r>
          </w:p>
        </w:tc>
        <w:tc>
          <w:tcPr>
            <w:tcW w:type="dxa" w:w="3240"/>
            <w:vAlign w:val="center"/>
          </w:tcPr>
          <w:p>
            <w:r/>
            <w:r>
              <w:rPr>
                <w:rFonts w:ascii="Mendl Sans Dusk Regular" w:hAnsi="Mendl Sans Dusk Regular" w:eastAsia="Mendl Sans Dusk Regular" w:cs="Mendl Sans Dusk Regular"/>
                <w:b w:val="0"/>
                <w:color w:val="202723"/>
                <w:sz w:val="17"/>
              </w:rPr>
              <w:t>Your Word Is Your Bond. So Is Ours.</w:t>
            </w:r>
          </w:p>
        </w:tc>
        <w:tc>
          <w:tcPr>
            <w:tcW w:type="dxa" w:w="5256"/>
            <w:vAlign w:val="center"/>
          </w:tcPr>
          <w:p>
            <w:r/>
            <w:r>
              <w:rPr>
                <w:rFonts w:ascii="Mendl Sans Dusk Regular" w:hAnsi="Mendl Sans Dusk Regular" w:eastAsia="Mendl Sans Dusk Regular" w:cs="Mendl Sans Dusk Regular"/>
                <w:b w:val="0"/>
                <w:color w:val="202723"/>
                <w:sz w:val="17"/>
              </w:rPr>
              <w:t>Our name is carried by every promise we make and every project we turn over. We protect both.</w:t>
            </w:r>
          </w:p>
        </w:tc>
      </w:tr>
      <w:tr>
        <w:tc>
          <w:tcPr>
            <w:tcW w:type="dxa" w:w="2088"/>
            <w:vAlign w:val="center"/>
          </w:tcPr>
          <w:p>
            <w:r/>
            <w:r>
              <w:rPr>
                <w:rFonts w:ascii="Mendl Sans Dusk Regular" w:hAnsi="Mendl Sans Dusk Regular" w:eastAsia="Mendl Sans Dusk Regular" w:cs="Mendl Sans Dusk Regular"/>
                <w:b w:val="0"/>
                <w:color w:val="202723"/>
                <w:sz w:val="17"/>
              </w:rPr>
              <w:t>/about/details</w:t>
            </w:r>
          </w:p>
        </w:tc>
        <w:tc>
          <w:tcPr>
            <w:tcW w:type="dxa" w:w="3240"/>
            <w:vAlign w:val="center"/>
          </w:tcPr>
          <w:p>
            <w:r/>
            <w:r>
              <w:rPr>
                <w:rFonts w:ascii="Mendl Sans Dusk Regular" w:hAnsi="Mendl Sans Dusk Regular" w:eastAsia="Mendl Sans Dusk Regular" w:cs="Mendl Sans Dusk Regular"/>
                <w:b w:val="0"/>
                <w:color w:val="202723"/>
                <w:sz w:val="17"/>
              </w:rPr>
              <w:t>The Standard Behind the Name.</w:t>
            </w:r>
          </w:p>
        </w:tc>
        <w:tc>
          <w:tcPr>
            <w:tcW w:type="dxa" w:w="5256"/>
            <w:vAlign w:val="center"/>
          </w:tcPr>
          <w:p>
            <w:r/>
            <w:r>
              <w:rPr>
                <w:rFonts w:ascii="Mendl Sans Dusk Regular" w:hAnsi="Mendl Sans Dusk Regular" w:eastAsia="Mendl Sans Dusk Regular" w:cs="Mendl Sans Dusk Regular"/>
                <w:b w:val="0"/>
                <w:color w:val="202723"/>
                <w:sz w:val="17"/>
              </w:rPr>
              <w:t>The details matter because they reveal how a company thinks, prepares, and responds when the work gets difficult.</w:t>
            </w:r>
          </w:p>
        </w:tc>
      </w:tr>
      <w:tr>
        <w:tc>
          <w:tcPr>
            <w:tcW w:type="dxa" w:w="2088"/>
            <w:vAlign w:val="center"/>
          </w:tcPr>
          <w:p>
            <w:r/>
            <w:r>
              <w:rPr>
                <w:rFonts w:ascii="Mendl Sans Dusk Regular" w:hAnsi="Mendl Sans Dusk Regular" w:eastAsia="Mendl Sans Dusk Regular" w:cs="Mendl Sans Dusk Regular"/>
                <w:b w:val="0"/>
                <w:color w:val="202723"/>
                <w:sz w:val="17"/>
              </w:rPr>
              <w:t>/accessibility</w:t>
            </w:r>
          </w:p>
        </w:tc>
        <w:tc>
          <w:tcPr>
            <w:tcW w:type="dxa" w:w="3240"/>
            <w:vAlign w:val="center"/>
          </w:tcPr>
          <w:p>
            <w:r/>
            <w:r>
              <w:rPr>
                <w:rFonts w:ascii="Mendl Sans Dusk Regular" w:hAnsi="Mendl Sans Dusk Regular" w:eastAsia="Mendl Sans Dusk Regular" w:cs="Mendl Sans Dusk Regular"/>
                <w:b w:val="0"/>
                <w:color w:val="202723"/>
                <w:sz w:val="17"/>
              </w:rPr>
              <w:t>Access Is Part of Accountability.</w:t>
            </w:r>
          </w:p>
        </w:tc>
        <w:tc>
          <w:tcPr>
            <w:tcW w:type="dxa" w:w="5256"/>
            <w:vAlign w:val="center"/>
          </w:tcPr>
          <w:p>
            <w:r/>
            <w:r>
              <w:rPr>
                <w:rFonts w:ascii="Mendl Sans Dusk Regular" w:hAnsi="Mendl Sans Dusk Regular" w:eastAsia="Mendl Sans Dusk Regular" w:cs="Mendl Sans Dusk Regular"/>
                <w:b w:val="0"/>
                <w:color w:val="202723"/>
                <w:sz w:val="17"/>
              </w:rPr>
              <w:t>Clear access to information is not an extra feature. It is part of respecting every person who needs to work with us.</w:t>
            </w:r>
          </w:p>
        </w:tc>
      </w:tr>
      <w:tr>
        <w:tc>
          <w:tcPr>
            <w:tcW w:type="dxa" w:w="2088"/>
            <w:vAlign w:val="center"/>
          </w:tcPr>
          <w:p>
            <w:r/>
            <w:r>
              <w:rPr>
                <w:rFonts w:ascii="Mendl Sans Dusk Regular" w:hAnsi="Mendl Sans Dusk Regular" w:eastAsia="Mendl Sans Dusk Regular" w:cs="Mendl Sans Dusk Regular"/>
                <w:b w:val="0"/>
                <w:color w:val="202723"/>
                <w:sz w:val="17"/>
              </w:rPr>
              <w:t>/allies</w:t>
            </w:r>
          </w:p>
        </w:tc>
        <w:tc>
          <w:tcPr>
            <w:tcW w:type="dxa" w:w="3240"/>
            <w:vAlign w:val="center"/>
          </w:tcPr>
          <w:p>
            <w:r/>
            <w:r>
              <w:rPr>
                <w:rFonts w:ascii="Mendl Sans Dusk Regular" w:hAnsi="Mendl Sans Dusk Regular" w:eastAsia="Mendl Sans Dusk Regular" w:cs="Mendl Sans Dusk Regular"/>
                <w:b w:val="0"/>
                <w:color w:val="202723"/>
                <w:sz w:val="17"/>
              </w:rPr>
              <w:t>One Mission. One Accountable Team.</w:t>
            </w:r>
          </w:p>
        </w:tc>
        <w:tc>
          <w:tcPr>
            <w:tcW w:type="dxa" w:w="5256"/>
            <w:vAlign w:val="center"/>
          </w:tcPr>
          <w:p>
            <w:r/>
            <w:r>
              <w:rPr>
                <w:rFonts w:ascii="Mendl Sans Dusk Regular" w:hAnsi="Mendl Sans Dusk Regular" w:eastAsia="Mendl Sans Dusk Regular" w:cs="Mendl Sans Dusk Regular"/>
                <w:b w:val="0"/>
                <w:color w:val="202723"/>
                <w:sz w:val="17"/>
              </w:rPr>
              <w:t>The strongest projects come from trade partners who communicate early, solve problems directly, and stand behind their work.</w:t>
            </w:r>
          </w:p>
        </w:tc>
      </w:tr>
      <w:tr>
        <w:tc>
          <w:tcPr>
            <w:tcW w:type="dxa" w:w="2088"/>
            <w:vAlign w:val="center"/>
          </w:tcPr>
          <w:p>
            <w:r/>
            <w:r>
              <w:rPr>
                <w:rFonts w:ascii="Mendl Sans Dusk Regular" w:hAnsi="Mendl Sans Dusk Regular" w:eastAsia="Mendl Sans Dusk Regular" w:cs="Mendl Sans Dusk Regular"/>
                <w:b w:val="0"/>
                <w:color w:val="202723"/>
                <w:sz w:val="17"/>
              </w:rPr>
              <w:t>/careers</w:t>
            </w:r>
          </w:p>
        </w:tc>
        <w:tc>
          <w:tcPr>
            <w:tcW w:type="dxa" w:w="3240"/>
            <w:vAlign w:val="center"/>
          </w:tcPr>
          <w:p>
            <w:r/>
            <w:r>
              <w:rPr>
                <w:rFonts w:ascii="Mendl Sans Dusk Regular" w:hAnsi="Mendl Sans Dusk Regular" w:eastAsia="Mendl Sans Dusk Regular" w:cs="Mendl Sans Dusk Regular"/>
                <w:b w:val="0"/>
                <w:color w:val="202723"/>
                <w:sz w:val="17"/>
              </w:rPr>
              <w:t>Build Skill. Earn Trust. Lead Forward.</w:t>
            </w:r>
          </w:p>
        </w:tc>
        <w:tc>
          <w:tcPr>
            <w:tcW w:type="dxa" w:w="5256"/>
            <w:vAlign w:val="center"/>
          </w:tcPr>
          <w:p>
            <w:r/>
            <w:r>
              <w:rPr>
                <w:rFonts w:ascii="Mendl Sans Dusk Regular" w:hAnsi="Mendl Sans Dusk Regular" w:eastAsia="Mendl Sans Dusk Regular" w:cs="Mendl Sans Dusk Regular"/>
                <w:b w:val="0"/>
                <w:color w:val="202723"/>
                <w:sz w:val="17"/>
              </w:rPr>
              <w:t>We are not filling seats. We are building a team of people who want responsibility, practice their craft, and help the next person succeed.</w:t>
            </w:r>
          </w:p>
        </w:tc>
      </w:tr>
      <w:tr>
        <w:tc>
          <w:tcPr>
            <w:tcW w:type="dxa" w:w="2088"/>
            <w:vAlign w:val="center"/>
          </w:tcPr>
          <w:p>
            <w:r/>
            <w:r>
              <w:rPr>
                <w:rFonts w:ascii="Mendl Sans Dusk Regular" w:hAnsi="Mendl Sans Dusk Regular" w:eastAsia="Mendl Sans Dusk Regular" w:cs="Mendl Sans Dusk Regular"/>
                <w:b w:val="0"/>
                <w:color w:val="202723"/>
                <w:sz w:val="17"/>
              </w:rPr>
              <w:t>/careers/print</w:t>
            </w:r>
          </w:p>
        </w:tc>
        <w:tc>
          <w:tcPr>
            <w:tcW w:type="dxa" w:w="3240"/>
            <w:vAlign w:val="center"/>
          </w:tcPr>
          <w:p>
            <w:r/>
            <w:r>
              <w:rPr>
                <w:rFonts w:ascii="Mendl Sans Dusk Regular" w:hAnsi="Mendl Sans Dusk Regular" w:eastAsia="Mendl Sans Dusk Regular" w:cs="Mendl Sans Dusk Regular"/>
                <w:b w:val="0"/>
                <w:color w:val="202723"/>
                <w:sz w:val="17"/>
              </w:rPr>
              <w:t>Know the Role. Own the Standard.</w:t>
            </w:r>
          </w:p>
        </w:tc>
        <w:tc>
          <w:tcPr>
            <w:tcW w:type="dxa" w:w="5256"/>
            <w:vAlign w:val="center"/>
          </w:tcPr>
          <w:p>
            <w:r/>
            <w:r>
              <w:rPr>
                <w:rFonts w:ascii="Mendl Sans Dusk Regular" w:hAnsi="Mendl Sans Dusk Regular" w:eastAsia="Mendl Sans Dusk Regular" w:cs="Mendl Sans Dusk Regular"/>
                <w:b w:val="0"/>
                <w:color w:val="202723"/>
                <w:sz w:val="17"/>
              </w:rPr>
              <w:t>A position should be clear on paper before a person is asked to carry it in the field.</w:t>
            </w:r>
          </w:p>
        </w:tc>
      </w:tr>
      <w:tr>
        <w:tc>
          <w:tcPr>
            <w:tcW w:type="dxa" w:w="2088"/>
            <w:vAlign w:val="center"/>
          </w:tcPr>
          <w:p>
            <w:r/>
            <w:r>
              <w:rPr>
                <w:rFonts w:ascii="Mendl Sans Dusk Regular" w:hAnsi="Mendl Sans Dusk Regular" w:eastAsia="Mendl Sans Dusk Regular" w:cs="Mendl Sans Dusk Regular"/>
                <w:b w:val="0"/>
                <w:color w:val="202723"/>
                <w:sz w:val="17"/>
              </w:rPr>
              <w:t>/contact</w:t>
            </w:r>
          </w:p>
        </w:tc>
        <w:tc>
          <w:tcPr>
            <w:tcW w:type="dxa" w:w="3240"/>
            <w:vAlign w:val="center"/>
          </w:tcPr>
          <w:p>
            <w:r/>
            <w:r>
              <w:rPr>
                <w:rFonts w:ascii="Mendl Sans Dusk Regular" w:hAnsi="Mendl Sans Dusk Regular" w:eastAsia="Mendl Sans Dusk Regular" w:cs="Mendl Sans Dusk Regular"/>
                <w:b w:val="0"/>
                <w:color w:val="202723"/>
                <w:sz w:val="17"/>
              </w:rPr>
              <w:t>Start With a Direct Conversation.</w:t>
            </w:r>
          </w:p>
        </w:tc>
        <w:tc>
          <w:tcPr>
            <w:tcW w:type="dxa" w:w="5256"/>
            <w:vAlign w:val="center"/>
          </w:tcPr>
          <w:p>
            <w:r/>
            <w:r>
              <w:rPr>
                <w:rFonts w:ascii="Mendl Sans Dusk Regular" w:hAnsi="Mendl Sans Dusk Regular" w:eastAsia="Mendl Sans Dusk Regular" w:cs="Mendl Sans Dusk Regular"/>
                <w:b w:val="0"/>
                <w:color w:val="202723"/>
                <w:sz w:val="17"/>
              </w:rPr>
              <w:t>Good projects start with a direct conversation. Tell us the mission, the constraints, and what success needs to look like.</w:t>
            </w:r>
          </w:p>
        </w:tc>
      </w:tr>
      <w:tr>
        <w:tc>
          <w:tcPr>
            <w:tcW w:type="dxa" w:w="2088"/>
            <w:vAlign w:val="center"/>
          </w:tcPr>
          <w:p>
            <w:r/>
            <w:r>
              <w:rPr>
                <w:rFonts w:ascii="Mendl Sans Dusk Regular" w:hAnsi="Mendl Sans Dusk Regular" w:eastAsia="Mendl Sans Dusk Regular" w:cs="Mendl Sans Dusk Regular"/>
                <w:b w:val="0"/>
                <w:color w:val="202723"/>
                <w:sz w:val="17"/>
              </w:rPr>
              <w:t>/cool-desert-nights</w:t>
            </w:r>
          </w:p>
        </w:tc>
        <w:tc>
          <w:tcPr>
            <w:tcW w:type="dxa" w:w="3240"/>
            <w:vAlign w:val="center"/>
          </w:tcPr>
          <w:p>
            <w:r/>
            <w:r>
              <w:rPr>
                <w:rFonts w:ascii="Mendl Sans Dusk Regular" w:hAnsi="Mendl Sans Dusk Regular" w:eastAsia="Mendl Sans Dusk Regular" w:cs="Mendl Sans Dusk Regular"/>
                <w:b w:val="0"/>
                <w:color w:val="202723"/>
                <w:sz w:val="17"/>
              </w:rPr>
              <w:t>Community Commitments Deserve a Record.</w:t>
            </w:r>
          </w:p>
        </w:tc>
        <w:tc>
          <w:tcPr>
            <w:tcW w:type="dxa" w:w="5256"/>
            <w:vAlign w:val="center"/>
          </w:tcPr>
          <w:p>
            <w:r/>
            <w:r>
              <w:rPr>
                <w:rFonts w:ascii="Mendl Sans Dusk Regular" w:hAnsi="Mendl Sans Dusk Regular" w:eastAsia="Mendl Sans Dusk Regular" w:cs="Mendl Sans Dusk Regular"/>
                <w:b w:val="0"/>
                <w:color w:val="202723"/>
                <w:sz w:val="17"/>
              </w:rPr>
              <w:t>When we support an event, we document the outcome, thank the partners, and carry the lessons into the next mission.</w:t>
            </w:r>
          </w:p>
        </w:tc>
      </w:tr>
      <w:tr>
        <w:tc>
          <w:tcPr>
            <w:tcW w:type="dxa" w:w="2088"/>
            <w:vAlign w:val="center"/>
          </w:tcPr>
          <w:p>
            <w:r/>
            <w:r>
              <w:rPr>
                <w:rFonts w:ascii="Mendl Sans Dusk Regular" w:hAnsi="Mendl Sans Dusk Regular" w:eastAsia="Mendl Sans Dusk Regular" w:cs="Mendl Sans Dusk Regular"/>
                <w:b w:val="0"/>
                <w:color w:val="202723"/>
                <w:sz w:val="17"/>
              </w:rPr>
              <w:t>/employee-handbook</w:t>
            </w:r>
          </w:p>
        </w:tc>
        <w:tc>
          <w:tcPr>
            <w:tcW w:type="dxa" w:w="3240"/>
            <w:vAlign w:val="center"/>
          </w:tcPr>
          <w:p>
            <w:r/>
            <w:r>
              <w:rPr>
                <w:rFonts w:ascii="Mendl Sans Dusk Regular" w:hAnsi="Mendl Sans Dusk Regular" w:eastAsia="Mendl Sans Dusk Regular" w:cs="Mendl Sans Dusk Regular"/>
                <w:b w:val="0"/>
                <w:color w:val="202723"/>
                <w:sz w:val="17"/>
              </w:rPr>
              <w:t>Clear Standards. Consistent Treatment.</w:t>
            </w:r>
          </w:p>
        </w:tc>
        <w:tc>
          <w:tcPr>
            <w:tcW w:type="dxa" w:w="5256"/>
            <w:vAlign w:val="center"/>
          </w:tcPr>
          <w:p>
            <w:r/>
            <w:r>
              <w:rPr>
                <w:rFonts w:ascii="Mendl Sans Dusk Regular" w:hAnsi="Mendl Sans Dusk Regular" w:eastAsia="Mendl Sans Dusk Regular" w:cs="Mendl Sans Dusk Regular"/>
                <w:b w:val="0"/>
                <w:color w:val="202723"/>
                <w:sz w:val="17"/>
              </w:rPr>
              <w:t>People perform better when expectations are written clearly, applied consistently, and backed by leaders who follow the same rules.</w:t>
            </w:r>
          </w:p>
        </w:tc>
      </w:tr>
      <w:tr>
        <w:tc>
          <w:tcPr>
            <w:tcW w:type="dxa" w:w="2088"/>
            <w:vAlign w:val="center"/>
          </w:tcPr>
          <w:p>
            <w:r/>
            <w:r>
              <w:rPr>
                <w:rFonts w:ascii="Mendl Sans Dusk Regular" w:hAnsi="Mendl Sans Dusk Regular" w:eastAsia="Mendl Sans Dusk Regular" w:cs="Mendl Sans Dusk Regular"/>
                <w:b w:val="0"/>
                <w:color w:val="202723"/>
                <w:sz w:val="17"/>
              </w:rPr>
              <w:t>/events</w:t>
            </w:r>
          </w:p>
        </w:tc>
        <w:tc>
          <w:tcPr>
            <w:tcW w:type="dxa" w:w="3240"/>
            <w:vAlign w:val="center"/>
          </w:tcPr>
          <w:p>
            <w:r/>
            <w:r>
              <w:rPr>
                <w:rFonts w:ascii="Mendl Sans Dusk Regular" w:hAnsi="Mendl Sans Dusk Regular" w:eastAsia="Mendl Sans Dusk Regular" w:cs="Mendl Sans Dusk Regular"/>
                <w:b w:val="0"/>
                <w:color w:val="202723"/>
                <w:sz w:val="17"/>
              </w:rPr>
              <w:t>Build the Project. Strengthen the Community.</w:t>
            </w:r>
          </w:p>
        </w:tc>
        <w:tc>
          <w:tcPr>
            <w:tcW w:type="dxa" w:w="5256"/>
            <w:vAlign w:val="center"/>
          </w:tcPr>
          <w:p>
            <w:r/>
            <w:r>
              <w:rPr>
                <w:rFonts w:ascii="Mendl Sans Dusk Regular" w:hAnsi="Mendl Sans Dusk Regular" w:eastAsia="Mendl Sans Dusk Regular" w:cs="Mendl Sans Dusk Regular"/>
                <w:b w:val="0"/>
                <w:color w:val="202723"/>
                <w:sz w:val="17"/>
              </w:rPr>
              <w:t>Community is not a market to capture; it is a formation to stand beside, support, and strengthen.</w:t>
            </w:r>
          </w:p>
        </w:tc>
      </w:tr>
      <w:tr>
        <w:tc>
          <w:tcPr>
            <w:tcW w:type="dxa" w:w="2088"/>
            <w:vAlign w:val="center"/>
          </w:tcPr>
          <w:p>
            <w:r/>
            <w:r>
              <w:rPr>
                <w:rFonts w:ascii="Mendl Sans Dusk Regular" w:hAnsi="Mendl Sans Dusk Regular" w:eastAsia="Mendl Sans Dusk Regular" w:cs="Mendl Sans Dusk Regular"/>
                <w:b w:val="0"/>
                <w:color w:val="202723"/>
                <w:sz w:val="17"/>
              </w:rPr>
              <w:t>/events/bbq-contest</w:t>
            </w:r>
          </w:p>
        </w:tc>
        <w:tc>
          <w:tcPr>
            <w:tcW w:type="dxa" w:w="3240"/>
            <w:vAlign w:val="center"/>
          </w:tcPr>
          <w:p>
            <w:r/>
            <w:r>
              <w:rPr>
                <w:rFonts w:ascii="Mendl Sans Dusk Regular" w:hAnsi="Mendl Sans Dusk Regular" w:eastAsia="Mendl Sans Dusk Regular" w:cs="Mendl Sans Dusk Regular"/>
                <w:b w:val="0"/>
                <w:color w:val="202723"/>
                <w:sz w:val="17"/>
              </w:rPr>
              <w:t>Bring the Team. Feed the Community.</w:t>
            </w:r>
          </w:p>
        </w:tc>
        <w:tc>
          <w:tcPr>
            <w:tcW w:type="dxa" w:w="5256"/>
            <w:vAlign w:val="center"/>
          </w:tcPr>
          <w:p>
            <w:r/>
            <w:r>
              <w:rPr>
                <w:rFonts w:ascii="Mendl Sans Dusk Regular" w:hAnsi="Mendl Sans Dusk Regular" w:eastAsia="Mendl Sans Dusk Regular" w:cs="Mendl Sans Dusk Regular"/>
                <w:b w:val="0"/>
                <w:color w:val="202723"/>
                <w:sz w:val="17"/>
              </w:rPr>
              <w:t>A good gathering brings people together around service, friendly competition, and the kind of relationships that last beyond the event.</w:t>
            </w:r>
          </w:p>
        </w:tc>
      </w:tr>
      <w:tr>
        <w:tc>
          <w:tcPr>
            <w:tcW w:type="dxa" w:w="2088"/>
            <w:vAlign w:val="center"/>
          </w:tcPr>
          <w:p>
            <w:r/>
            <w:r>
              <w:rPr>
                <w:rFonts w:ascii="Mendl Sans Dusk Regular" w:hAnsi="Mendl Sans Dusk Regular" w:eastAsia="Mendl Sans Dusk Regular" w:cs="Mendl Sans Dusk Regular"/>
                <w:b w:val="0"/>
                <w:color w:val="202723"/>
                <w:sz w:val="17"/>
              </w:rPr>
              <w:t>/events/cool-desert-nights</w:t>
            </w:r>
          </w:p>
        </w:tc>
        <w:tc>
          <w:tcPr>
            <w:tcW w:type="dxa" w:w="3240"/>
            <w:vAlign w:val="center"/>
          </w:tcPr>
          <w:p>
            <w:r/>
            <w:r>
              <w:rPr>
                <w:rFonts w:ascii="Mendl Sans Dusk Regular" w:hAnsi="Mendl Sans Dusk Regular" w:eastAsia="Mendl Sans Dusk Regular" w:cs="Mendl Sans Dusk Regular"/>
                <w:b w:val="0"/>
                <w:color w:val="202723"/>
                <w:sz w:val="17"/>
              </w:rPr>
              <w:t>Honor the Work Behind the Show.</w:t>
            </w:r>
          </w:p>
        </w:tc>
        <w:tc>
          <w:tcPr>
            <w:tcW w:type="dxa" w:w="5256"/>
            <w:vAlign w:val="center"/>
          </w:tcPr>
          <w:p>
            <w:r/>
            <w:r>
              <w:rPr>
                <w:rFonts w:ascii="Mendl Sans Dusk Regular" w:hAnsi="Mendl Sans Dusk Regular" w:eastAsia="Mendl Sans Dusk Regular" w:cs="Mendl Sans Dusk Regular"/>
                <w:b w:val="0"/>
                <w:color w:val="202723"/>
                <w:sz w:val="17"/>
              </w:rPr>
              <w:t>Events succeed because volunteers, sponsors, crews, and community partners handle the details long before the gates open.</w:t>
            </w:r>
          </w:p>
        </w:tc>
      </w:tr>
      <w:tr>
        <w:tc>
          <w:tcPr>
            <w:tcW w:type="dxa" w:w="2088"/>
            <w:vAlign w:val="center"/>
          </w:tcPr>
          <w:p>
            <w:r/>
            <w:r>
              <w:rPr>
                <w:rFonts w:ascii="Mendl Sans Dusk Regular" w:hAnsi="Mendl Sans Dusk Regular" w:eastAsia="Mendl Sans Dusk Regular" w:cs="Mendl Sans Dusk Regular"/>
                <w:b w:val="0"/>
                <w:color w:val="202723"/>
                <w:sz w:val="17"/>
              </w:rPr>
              <w:t>/events/ironman-volunteer</w:t>
            </w:r>
          </w:p>
        </w:tc>
        <w:tc>
          <w:tcPr>
            <w:tcW w:type="dxa" w:w="3240"/>
            <w:vAlign w:val="center"/>
          </w:tcPr>
          <w:p>
            <w:r/>
            <w:r>
              <w:rPr>
                <w:rFonts w:ascii="Mendl Sans Dusk Regular" w:hAnsi="Mendl Sans Dusk Regular" w:eastAsia="Mendl Sans Dusk Regular" w:cs="Mendl Sans Dusk Regular"/>
                <w:b w:val="0"/>
                <w:color w:val="202723"/>
                <w:sz w:val="17"/>
              </w:rPr>
              <w:t>Service Shows Up Before Sunrise.</w:t>
            </w:r>
          </w:p>
        </w:tc>
        <w:tc>
          <w:tcPr>
            <w:tcW w:type="dxa" w:w="5256"/>
            <w:vAlign w:val="center"/>
          </w:tcPr>
          <w:p>
            <w:r/>
            <w:r>
              <w:rPr>
                <w:rFonts w:ascii="Mendl Sans Dusk Regular" w:hAnsi="Mendl Sans Dusk Regular" w:eastAsia="Mendl Sans Dusk Regular" w:cs="Mendl Sans Dusk Regular"/>
                <w:b w:val="0"/>
                <w:color w:val="202723"/>
                <w:sz w:val="17"/>
              </w:rPr>
              <w:t>Volunteering means taking your post, supporting the mission, and helping every participant reach the finish safely.</w:t>
            </w:r>
          </w:p>
        </w:tc>
      </w:tr>
      <w:tr>
        <w:tc>
          <w:tcPr>
            <w:tcW w:type="dxa" w:w="2088"/>
            <w:vAlign w:val="center"/>
          </w:tcPr>
          <w:p>
            <w:r/>
            <w:r>
              <w:rPr>
                <w:rFonts w:ascii="Mendl Sans Dusk Regular" w:hAnsi="Mendl Sans Dusk Regular" w:eastAsia="Mendl Sans Dusk Regular" w:cs="Mendl Sans Dusk Regular"/>
                <w:b w:val="0"/>
                <w:color w:val="202723"/>
                <w:sz w:val="17"/>
              </w:rPr>
              <w:t>/events/operation-cast-recover</w:t>
            </w:r>
          </w:p>
        </w:tc>
        <w:tc>
          <w:tcPr>
            <w:tcW w:type="dxa" w:w="3240"/>
            <w:vAlign w:val="center"/>
          </w:tcPr>
          <w:p>
            <w:r/>
            <w:r>
              <w:rPr>
                <w:rFonts w:ascii="Mendl Sans Dusk Regular" w:hAnsi="Mendl Sans Dusk Regular" w:eastAsia="Mendl Sans Dusk Regular" w:cs="Mendl Sans Dusk Regular"/>
                <w:b w:val="0"/>
                <w:color w:val="202723"/>
                <w:sz w:val="17"/>
              </w:rPr>
              <w:t>Recovery Has a Team Formation.</w:t>
            </w:r>
          </w:p>
        </w:tc>
        <w:tc>
          <w:tcPr>
            <w:tcW w:type="dxa" w:w="5256"/>
            <w:vAlign w:val="center"/>
          </w:tcPr>
          <w:p>
            <w:r/>
            <w:r>
              <w:rPr>
                <w:rFonts w:ascii="Mendl Sans Dusk Regular" w:hAnsi="Mendl Sans Dusk Regular" w:eastAsia="Mendl Sans Dusk Regular" w:cs="Mendl Sans Dusk Regular"/>
                <w:b w:val="0"/>
                <w:color w:val="202723"/>
                <w:sz w:val="17"/>
              </w:rPr>
              <w:t>When veterans and families need room to reset, the community should be ready to stand beside them without hesitation.</w:t>
            </w:r>
          </w:p>
        </w:tc>
      </w:tr>
      <w:tr>
        <w:tc>
          <w:tcPr>
            <w:tcW w:type="dxa" w:w="2088"/>
            <w:vAlign w:val="center"/>
          </w:tcPr>
          <w:p>
            <w:r/>
            <w:r>
              <w:rPr>
                <w:rFonts w:ascii="Mendl Sans Dusk Regular" w:hAnsi="Mendl Sans Dusk Regular" w:eastAsia="Mendl Sans Dusk Regular" w:cs="Mendl Sans Dusk Regular"/>
                <w:b w:val="0"/>
                <w:color w:val="202723"/>
                <w:sz w:val="17"/>
              </w:rPr>
              <w:t>/events/:slug</w:t>
            </w:r>
          </w:p>
        </w:tc>
        <w:tc>
          <w:tcPr>
            <w:tcW w:type="dxa" w:w="3240"/>
            <w:vAlign w:val="center"/>
          </w:tcPr>
          <w:p>
            <w:r/>
            <w:r>
              <w:rPr>
                <w:rFonts w:ascii="Mendl Sans Dusk Regular" w:hAnsi="Mendl Sans Dusk Regular" w:eastAsia="Mendl Sans Dusk Regular" w:cs="Mendl Sans Dusk Regular"/>
                <w:b w:val="0"/>
                <w:color w:val="202723"/>
                <w:sz w:val="17"/>
              </w:rPr>
              <w:t>Every Event Has Its Own Mission.</w:t>
            </w:r>
          </w:p>
        </w:tc>
        <w:tc>
          <w:tcPr>
            <w:tcW w:type="dxa" w:w="5256"/>
            <w:vAlign w:val="center"/>
          </w:tcPr>
          <w:p>
            <w:r/>
            <w:r>
              <w:rPr>
                <w:rFonts w:ascii="Mendl Sans Dusk Regular" w:hAnsi="Mendl Sans Dusk Regular" w:eastAsia="Mendl Sans Dusk Regular" w:cs="Mendl Sans Dusk Regular"/>
                <w:b w:val="0"/>
                <w:color w:val="202723"/>
                <w:sz w:val="17"/>
              </w:rPr>
              <w:t>We support events with a clear purpose, an accountable plan, and respect for the people doing the work.</w:t>
            </w:r>
          </w:p>
        </w:tc>
      </w:tr>
      <w:tr>
        <w:tc>
          <w:tcPr>
            <w:tcW w:type="dxa" w:w="2088"/>
            <w:vAlign w:val="center"/>
          </w:tcPr>
          <w:p>
            <w:r/>
            <w:r>
              <w:rPr>
                <w:rFonts w:ascii="Mendl Sans Dusk Regular" w:hAnsi="Mendl Sans Dusk Regular" w:eastAsia="Mendl Sans Dusk Regular" w:cs="Mendl Sans Dusk Regular"/>
                <w:b w:val="0"/>
                <w:color w:val="202723"/>
                <w:sz w:val="17"/>
              </w:rPr>
              <w:t>/faq</w:t>
            </w:r>
          </w:p>
        </w:tc>
        <w:tc>
          <w:tcPr>
            <w:tcW w:type="dxa" w:w="3240"/>
            <w:vAlign w:val="center"/>
          </w:tcPr>
          <w:p>
            <w:r/>
            <w:r>
              <w:rPr>
                <w:rFonts w:ascii="Mendl Sans Dusk Regular" w:hAnsi="Mendl Sans Dusk Regular" w:eastAsia="Mendl Sans Dusk Regular" w:cs="Mendl Sans Dusk Regular"/>
                <w:b w:val="0"/>
                <w:color w:val="202723"/>
                <w:sz w:val="17"/>
              </w:rPr>
              <w:t>Direct Answers Before Commitments.</w:t>
            </w:r>
          </w:p>
        </w:tc>
        <w:tc>
          <w:tcPr>
            <w:tcW w:type="dxa" w:w="5256"/>
            <w:vAlign w:val="center"/>
          </w:tcPr>
          <w:p>
            <w:r/>
            <w:r>
              <w:rPr>
                <w:rFonts w:ascii="Mendl Sans Dusk Regular" w:hAnsi="Mendl Sans Dusk Regular" w:eastAsia="Mendl Sans Dusk Regular" w:cs="Mendl Sans Dusk Regular"/>
                <w:b w:val="0"/>
                <w:color w:val="202723"/>
                <w:sz w:val="17"/>
              </w:rPr>
              <w:t>If a client has to guess, we have not communicated clearly enough. Ask the hard question early and get the facts on the table.</w:t>
            </w:r>
          </w:p>
        </w:tc>
      </w:tr>
      <w:tr>
        <w:tc>
          <w:tcPr>
            <w:tcW w:type="dxa" w:w="2088"/>
            <w:vAlign w:val="center"/>
          </w:tcPr>
          <w:p>
            <w:r/>
            <w:r>
              <w:rPr>
                <w:rFonts w:ascii="Mendl Sans Dusk Regular" w:hAnsi="Mendl Sans Dusk Regular" w:eastAsia="Mendl Sans Dusk Regular" w:cs="Mendl Sans Dusk Regular"/>
                <w:b w:val="0"/>
                <w:color w:val="202723"/>
                <w:sz w:val="17"/>
              </w:rPr>
              <w:t>/faq/:category</w:t>
            </w:r>
          </w:p>
        </w:tc>
        <w:tc>
          <w:tcPr>
            <w:tcW w:type="dxa" w:w="3240"/>
            <w:vAlign w:val="center"/>
          </w:tcPr>
          <w:p>
            <w:r/>
            <w:r>
              <w:rPr>
                <w:rFonts w:ascii="Mendl Sans Dusk Regular" w:hAnsi="Mendl Sans Dusk Regular" w:eastAsia="Mendl Sans Dusk Regular" w:cs="Mendl Sans Dusk Regular"/>
                <w:b w:val="0"/>
                <w:color w:val="202723"/>
                <w:sz w:val="17"/>
              </w:rPr>
              <w:t>Get the Right Answer From the Right Position.</w:t>
            </w:r>
          </w:p>
        </w:tc>
        <w:tc>
          <w:tcPr>
            <w:tcW w:type="dxa" w:w="5256"/>
            <w:vAlign w:val="center"/>
          </w:tcPr>
          <w:p>
            <w:r/>
            <w:r>
              <w:rPr>
                <w:rFonts w:ascii="Mendl Sans Dusk Regular" w:hAnsi="Mendl Sans Dusk Regular" w:eastAsia="Mendl Sans Dusk Regular" w:cs="Mendl Sans Dusk Regular"/>
                <w:b w:val="0"/>
                <w:color w:val="202723"/>
                <w:sz w:val="17"/>
              </w:rPr>
              <w:t>Good decisions begin with accurate information, clear authority, and a direct path to the person responsible.</w:t>
            </w:r>
          </w:p>
        </w:tc>
      </w:tr>
      <w:tr>
        <w:tc>
          <w:tcPr>
            <w:tcW w:type="dxa" w:w="2088"/>
            <w:vAlign w:val="center"/>
          </w:tcPr>
          <w:p>
            <w:r/>
            <w:r>
              <w:rPr>
                <w:rFonts w:ascii="Mendl Sans Dusk Regular" w:hAnsi="Mendl Sans Dusk Regular" w:eastAsia="Mendl Sans Dusk Regular" w:cs="Mendl Sans Dusk Regular"/>
                <w:b w:val="0"/>
                <w:color w:val="202723"/>
                <w:sz w:val="17"/>
              </w:rPr>
              <w:t>/jeremy-thamert</w:t>
            </w:r>
          </w:p>
        </w:tc>
        <w:tc>
          <w:tcPr>
            <w:tcW w:type="dxa" w:w="3240"/>
            <w:vAlign w:val="center"/>
          </w:tcPr>
          <w:p>
            <w:r/>
            <w:r>
              <w:rPr>
                <w:rFonts w:ascii="Mendl Sans Dusk Regular" w:hAnsi="Mendl Sans Dusk Regular" w:eastAsia="Mendl Sans Dusk Regular" w:cs="Mendl Sans Dusk Regular"/>
                <w:b w:val="0"/>
                <w:color w:val="202723"/>
                <w:sz w:val="17"/>
              </w:rPr>
              <w:t>Ownership Means Accountability.</w:t>
            </w:r>
          </w:p>
        </w:tc>
        <w:tc>
          <w:tcPr>
            <w:tcW w:type="dxa" w:w="5256"/>
            <w:vAlign w:val="center"/>
          </w:tcPr>
          <w:p>
            <w:r/>
            <w:r>
              <w:rPr>
                <w:rFonts w:ascii="Mendl Sans Dusk Regular" w:hAnsi="Mendl Sans Dusk Regular" w:eastAsia="Mendl Sans Dusk Regular" w:cs="Mendl Sans Dusk Regular"/>
                <w:b w:val="0"/>
                <w:color w:val="202723"/>
                <w:sz w:val="17"/>
              </w:rPr>
              <w:t>Ownership means the final responsibility stays with me. When we make a commitment, I expect our team to carry it through.</w:t>
            </w:r>
          </w:p>
        </w:tc>
      </w:tr>
      <w:tr>
        <w:tc>
          <w:tcPr>
            <w:tcW w:type="dxa" w:w="2088"/>
            <w:vAlign w:val="center"/>
          </w:tcPr>
          <w:p>
            <w:r/>
            <w:r>
              <w:rPr>
                <w:rFonts w:ascii="Mendl Sans Dusk Regular" w:hAnsi="Mendl Sans Dusk Regular" w:eastAsia="Mendl Sans Dusk Regular" w:cs="Mendl Sans Dusk Regular"/>
                <w:b w:val="0"/>
                <w:color w:val="202723"/>
                <w:sz w:val="17"/>
              </w:rPr>
              <w:t>/locations</w:t>
            </w:r>
          </w:p>
        </w:tc>
        <w:tc>
          <w:tcPr>
            <w:tcW w:type="dxa" w:w="3240"/>
            <w:vAlign w:val="center"/>
          </w:tcPr>
          <w:p>
            <w:r/>
            <w:r>
              <w:rPr>
                <w:rFonts w:ascii="Mendl Sans Dusk Regular" w:hAnsi="Mendl Sans Dusk Regular" w:eastAsia="Mendl Sans Dusk Regular" w:cs="Mendl Sans Dusk Regular"/>
                <w:b w:val="0"/>
                <w:color w:val="202723"/>
                <w:sz w:val="17"/>
              </w:rPr>
              <w:t>Regional Reach. Local Accountability.</w:t>
            </w:r>
          </w:p>
        </w:tc>
        <w:tc>
          <w:tcPr>
            <w:tcW w:type="dxa" w:w="5256"/>
            <w:vAlign w:val="center"/>
          </w:tcPr>
          <w:p>
            <w:r/>
            <w:r>
              <w:rPr>
                <w:rFonts w:ascii="Mendl Sans Dusk Regular" w:hAnsi="Mendl Sans Dusk Regular" w:eastAsia="Mendl Sans Dusk Regular" w:cs="Mendl Sans Dusk Regular"/>
                <w:b w:val="0"/>
                <w:color w:val="202723"/>
                <w:sz w:val="17"/>
              </w:rPr>
              <w:t>Distance changes the logistics, not the standard. Every project receives clear leadership, direct communication, and accountable follow-through.</w:t>
            </w:r>
          </w:p>
        </w:tc>
      </w:tr>
      <w:tr>
        <w:tc>
          <w:tcPr>
            <w:tcW w:type="dxa" w:w="2088"/>
            <w:vAlign w:val="center"/>
          </w:tcPr>
          <w:p>
            <w:r/>
            <w:r>
              <w:rPr>
                <w:rFonts w:ascii="Mendl Sans Dusk Regular" w:hAnsi="Mendl Sans Dusk Regular" w:eastAsia="Mendl Sans Dusk Regular" w:cs="Mendl Sans Dusk Regular"/>
                <w:b w:val="0"/>
                <w:color w:val="202723"/>
                <w:sz w:val="17"/>
              </w:rPr>
              <w:t>/locations/:city</w:t>
            </w:r>
          </w:p>
        </w:tc>
        <w:tc>
          <w:tcPr>
            <w:tcW w:type="dxa" w:w="3240"/>
            <w:vAlign w:val="center"/>
          </w:tcPr>
          <w:p>
            <w:r/>
            <w:r>
              <w:rPr>
                <w:rFonts w:ascii="Mendl Sans Dusk Regular" w:hAnsi="Mendl Sans Dusk Regular" w:eastAsia="Mendl Sans Dusk Regular" w:cs="Mendl Sans Dusk Regular"/>
                <w:b w:val="0"/>
                <w:color w:val="202723"/>
                <w:sz w:val="17"/>
              </w:rPr>
              <w:t>Know the Ground. Respect the Community.</w:t>
            </w:r>
          </w:p>
        </w:tc>
        <w:tc>
          <w:tcPr>
            <w:tcW w:type="dxa" w:w="5256"/>
            <w:vAlign w:val="center"/>
          </w:tcPr>
          <w:p>
            <w:r/>
            <w:r>
              <w:rPr>
                <w:rFonts w:ascii="Mendl Sans Dusk Regular" w:hAnsi="Mendl Sans Dusk Regular" w:eastAsia="Mendl Sans Dusk Regular" w:cs="Mendl Sans Dusk Regular"/>
                <w:b w:val="0"/>
                <w:color w:val="202723"/>
                <w:sz w:val="17"/>
              </w:rPr>
              <w:t>Every community has its own conditions, partners, and priorities. We prepare locally and carry one company standard everywhere.</w:t>
            </w:r>
          </w:p>
        </w:tc>
      </w:tr>
      <w:tr>
        <w:tc>
          <w:tcPr>
            <w:tcW w:type="dxa" w:w="2088"/>
            <w:vAlign w:val="center"/>
          </w:tcPr>
          <w:p>
            <w:r/>
            <w:r>
              <w:rPr>
                <w:rFonts w:ascii="Mendl Sans Dusk Regular" w:hAnsi="Mendl Sans Dusk Regular" w:eastAsia="Mendl Sans Dusk Regular" w:cs="Mendl Sans Dusk Regular"/>
                <w:b w:val="0"/>
                <w:color w:val="202723"/>
                <w:sz w:val="17"/>
              </w:rPr>
              <w:t>/news</w:t>
            </w:r>
          </w:p>
        </w:tc>
        <w:tc>
          <w:tcPr>
            <w:tcW w:type="dxa" w:w="3240"/>
            <w:vAlign w:val="center"/>
          </w:tcPr>
          <w:p>
            <w:r/>
            <w:r>
              <w:rPr>
                <w:rFonts w:ascii="Mendl Sans Dusk Regular" w:hAnsi="Mendl Sans Dusk Regular" w:eastAsia="Mendl Sans Dusk Regular" w:cs="Mendl Sans Dusk Regular"/>
                <w:b w:val="0"/>
                <w:color w:val="202723"/>
                <w:sz w:val="17"/>
              </w:rPr>
              <w:t>Report What Matters. Prove What We Claim.</w:t>
            </w:r>
          </w:p>
        </w:tc>
        <w:tc>
          <w:tcPr>
            <w:tcW w:type="dxa" w:w="5256"/>
            <w:vAlign w:val="center"/>
          </w:tcPr>
          <w:p>
            <w:r/>
            <w:r>
              <w:rPr>
                <w:rFonts w:ascii="Mendl Sans Dusk Regular" w:hAnsi="Mendl Sans Dusk Regular" w:eastAsia="Mendl Sans Dusk Regular" w:cs="Mendl Sans Dusk Regular"/>
                <w:b w:val="0"/>
                <w:color w:val="202723"/>
                <w:sz w:val="17"/>
              </w:rPr>
              <w:t>We share what we learn because better information makes stronger clients, stronger partners, and stronger projects.</w:t>
            </w:r>
          </w:p>
        </w:tc>
      </w:tr>
      <w:tr>
        <w:tc>
          <w:tcPr>
            <w:tcW w:type="dxa" w:w="2088"/>
            <w:vAlign w:val="center"/>
          </w:tcPr>
          <w:p>
            <w:r/>
            <w:r>
              <w:rPr>
                <w:rFonts w:ascii="Mendl Sans Dusk Regular" w:hAnsi="Mendl Sans Dusk Regular" w:eastAsia="Mendl Sans Dusk Regular" w:cs="Mendl Sans Dusk Regular"/>
                <w:b w:val="0"/>
                <w:color w:val="202723"/>
                <w:sz w:val="17"/>
              </w:rPr>
              <w:t>/offline</w:t>
            </w:r>
          </w:p>
        </w:tc>
        <w:tc>
          <w:tcPr>
            <w:tcW w:type="dxa" w:w="3240"/>
            <w:vAlign w:val="center"/>
          </w:tcPr>
          <w:p>
            <w:r/>
            <w:r>
              <w:rPr>
                <w:rFonts w:ascii="Mendl Sans Dusk Regular" w:hAnsi="Mendl Sans Dusk Regular" w:eastAsia="Mendl Sans Dusk Regular" w:cs="Mendl Sans Dusk Regular"/>
                <w:b w:val="0"/>
                <w:color w:val="202723"/>
                <w:sz w:val="17"/>
              </w:rPr>
              <w:t>The Mission Continues When the Signal Drops.</w:t>
            </w:r>
          </w:p>
        </w:tc>
        <w:tc>
          <w:tcPr>
            <w:tcW w:type="dxa" w:w="5256"/>
            <w:vAlign w:val="center"/>
          </w:tcPr>
          <w:p>
            <w:r/>
            <w:r>
              <w:rPr>
                <w:rFonts w:ascii="Mendl Sans Dusk Regular" w:hAnsi="Mendl Sans Dusk Regular" w:eastAsia="Mendl Sans Dusk Regular" w:cs="Mendl Sans Dusk Regular"/>
                <w:b w:val="0"/>
                <w:color w:val="202723"/>
                <w:sz w:val="17"/>
              </w:rPr>
              <w:t>Reliable systems plan for interruption, protect the record, and restore the team to current information as soon as connection returns.</w:t>
            </w:r>
          </w:p>
        </w:tc>
      </w:tr>
      <w:tr>
        <w:tc>
          <w:tcPr>
            <w:tcW w:type="dxa" w:w="2088"/>
            <w:vAlign w:val="center"/>
          </w:tcPr>
          <w:p>
            <w:r/>
            <w:r>
              <w:rPr>
                <w:rFonts w:ascii="Mendl Sans Dusk Regular" w:hAnsi="Mendl Sans Dusk Regular" w:eastAsia="Mendl Sans Dusk Regular" w:cs="Mendl Sans Dusk Regular"/>
                <w:b w:val="0"/>
                <w:color w:val="202723"/>
                <w:sz w:val="17"/>
              </w:rPr>
              <w:t>/privacy</w:t>
            </w:r>
          </w:p>
        </w:tc>
        <w:tc>
          <w:tcPr>
            <w:tcW w:type="dxa" w:w="3240"/>
            <w:vAlign w:val="center"/>
          </w:tcPr>
          <w:p>
            <w:r/>
            <w:r>
              <w:rPr>
                <w:rFonts w:ascii="Mendl Sans Dusk Regular" w:hAnsi="Mendl Sans Dusk Regular" w:eastAsia="Mendl Sans Dusk Regular" w:cs="Mendl Sans Dusk Regular"/>
                <w:b w:val="0"/>
                <w:color w:val="202723"/>
                <w:sz w:val="17"/>
              </w:rPr>
              <w:t>Trust Includes the Information We Hold.</w:t>
            </w:r>
          </w:p>
        </w:tc>
        <w:tc>
          <w:tcPr>
            <w:tcW w:type="dxa" w:w="5256"/>
            <w:vAlign w:val="center"/>
          </w:tcPr>
          <w:p>
            <w:r/>
            <w:r>
              <w:rPr>
                <w:rFonts w:ascii="Mendl Sans Dusk Regular" w:hAnsi="Mendl Sans Dusk Regular" w:eastAsia="Mendl Sans Dusk Regular" w:cs="Mendl Sans Dusk Regular"/>
                <w:b w:val="0"/>
                <w:color w:val="202723"/>
                <w:sz w:val="17"/>
              </w:rPr>
              <w:t>If someone gives us information, we have a duty to protect it, limit its use, and be clear about why we need it.</w:t>
            </w:r>
          </w:p>
        </w:tc>
      </w:tr>
      <w:tr>
        <w:tc>
          <w:tcPr>
            <w:tcW w:type="dxa" w:w="2088"/>
            <w:vAlign w:val="center"/>
          </w:tcPr>
          <w:p>
            <w:r/>
            <w:r>
              <w:rPr>
                <w:rFonts w:ascii="Mendl Sans Dusk Regular" w:hAnsi="Mendl Sans Dusk Regular" w:eastAsia="Mendl Sans Dusk Regular" w:cs="Mendl Sans Dusk Regular"/>
                <w:b w:val="0"/>
                <w:color w:val="202723"/>
                <w:sz w:val="17"/>
              </w:rPr>
              <w:t>/projects</w:t>
            </w:r>
          </w:p>
        </w:tc>
        <w:tc>
          <w:tcPr>
            <w:tcW w:type="dxa" w:w="3240"/>
            <w:vAlign w:val="center"/>
          </w:tcPr>
          <w:p>
            <w:r/>
            <w:r>
              <w:rPr>
                <w:rFonts w:ascii="Mendl Sans Dusk Regular" w:hAnsi="Mendl Sans Dusk Regular" w:eastAsia="Mendl Sans Dusk Regular" w:cs="Mendl Sans Dusk Regular"/>
                <w:b w:val="0"/>
                <w:color w:val="202723"/>
                <w:sz w:val="17"/>
              </w:rPr>
              <w:t>Field-Proven Results.</w:t>
            </w:r>
          </w:p>
        </w:tc>
        <w:tc>
          <w:tcPr>
            <w:tcW w:type="dxa" w:w="5256"/>
            <w:vAlign w:val="center"/>
          </w:tcPr>
          <w:p>
            <w:r/>
            <w:r>
              <w:rPr>
                <w:rFonts w:ascii="Mendl Sans Dusk Regular" w:hAnsi="Mendl Sans Dusk Regular" w:eastAsia="Mendl Sans Dusk Regular" w:cs="Mendl Sans Dusk Regular"/>
                <w:b w:val="0"/>
                <w:color w:val="202723"/>
                <w:sz w:val="17"/>
              </w:rPr>
              <w:t>The finished building matters, but so does the trail of decisions, craftsmanship, and accountability that got it there.</w:t>
            </w:r>
          </w:p>
        </w:tc>
      </w:tr>
      <w:tr>
        <w:tc>
          <w:tcPr>
            <w:tcW w:type="dxa" w:w="2088"/>
            <w:vAlign w:val="center"/>
          </w:tcPr>
          <w:p>
            <w:r/>
            <w:r>
              <w:rPr>
                <w:rFonts w:ascii="Mendl Sans Dusk Regular" w:hAnsi="Mendl Sans Dusk Regular" w:eastAsia="Mendl Sans Dusk Regular" w:cs="Mendl Sans Dusk Regular"/>
                <w:b w:val="0"/>
                <w:color w:val="202723"/>
                <w:sz w:val="17"/>
              </w:rPr>
              <w:t>/projects/:slug</w:t>
            </w:r>
          </w:p>
        </w:tc>
        <w:tc>
          <w:tcPr>
            <w:tcW w:type="dxa" w:w="3240"/>
            <w:vAlign w:val="center"/>
          </w:tcPr>
          <w:p>
            <w:r/>
            <w:r>
              <w:rPr>
                <w:rFonts w:ascii="Mendl Sans Dusk Regular" w:hAnsi="Mendl Sans Dusk Regular" w:eastAsia="Mendl Sans Dusk Regular" w:cs="Mendl Sans Dusk Regular"/>
                <w:b w:val="0"/>
                <w:color w:val="202723"/>
                <w:sz w:val="17"/>
              </w:rPr>
              <w:t>Every Build Has an After-Action Record.</w:t>
            </w:r>
          </w:p>
        </w:tc>
        <w:tc>
          <w:tcPr>
            <w:tcW w:type="dxa" w:w="5256"/>
            <w:vAlign w:val="center"/>
          </w:tcPr>
          <w:p>
            <w:r/>
            <w:r>
              <w:rPr>
                <w:rFonts w:ascii="Mendl Sans Dusk Regular" w:hAnsi="Mendl Sans Dusk Regular" w:eastAsia="Mendl Sans Dusk Regular" w:cs="Mendl Sans Dusk Regular"/>
                <w:b w:val="0"/>
                <w:color w:val="202723"/>
                <w:sz w:val="17"/>
              </w:rPr>
              <w:t>A project story should show the challenge, the decisions, the fieldwork, and the result without overstating any part of the mission.</w:t>
            </w:r>
          </w:p>
        </w:tc>
      </w:tr>
      <w:tr>
        <w:tc>
          <w:tcPr>
            <w:tcW w:type="dxa" w:w="2088"/>
            <w:vAlign w:val="center"/>
          </w:tcPr>
          <w:p>
            <w:r/>
            <w:r>
              <w:rPr>
                <w:rFonts w:ascii="Mendl Sans Dusk Regular" w:hAnsi="Mendl Sans Dusk Regular" w:eastAsia="Mendl Sans Dusk Regular" w:cs="Mendl Sans Dusk Regular"/>
                <w:b w:val="0"/>
                <w:color w:val="202723"/>
                <w:sz w:val="17"/>
              </w:rPr>
              <w:t>/public-sector</w:t>
            </w:r>
          </w:p>
        </w:tc>
        <w:tc>
          <w:tcPr>
            <w:tcW w:type="dxa" w:w="3240"/>
            <w:vAlign w:val="center"/>
          </w:tcPr>
          <w:p>
            <w:r/>
            <w:r>
              <w:rPr>
                <w:rFonts w:ascii="Mendl Sans Dusk Regular" w:hAnsi="Mendl Sans Dusk Regular" w:eastAsia="Mendl Sans Dusk Regular" w:cs="Mendl Sans Dusk Regular"/>
                <w:b w:val="0"/>
                <w:color w:val="202723"/>
                <w:sz w:val="17"/>
              </w:rPr>
              <w:t>Public Work. Public Trust. Documented Accountability.</w:t>
            </w:r>
          </w:p>
        </w:tc>
        <w:tc>
          <w:tcPr>
            <w:tcW w:type="dxa" w:w="5256"/>
            <w:vAlign w:val="center"/>
          </w:tcPr>
          <w:p>
            <w:r/>
            <w:r>
              <w:rPr>
                <w:rFonts w:ascii="Mendl Sans Dusk Regular" w:hAnsi="Mendl Sans Dusk Regular" w:eastAsia="Mendl Sans Dusk Regular" w:cs="Mendl Sans Dusk Regular"/>
                <w:b w:val="0"/>
                <w:color w:val="202723"/>
                <w:sz w:val="17"/>
              </w:rPr>
              <w:t>Public work demands disciplined records, transparent decisions, and a team that understands every dollar and every commitment belongs to the community.</w:t>
            </w:r>
          </w:p>
        </w:tc>
      </w:tr>
      <w:tr>
        <w:tc>
          <w:tcPr>
            <w:tcW w:type="dxa" w:w="2088"/>
            <w:vAlign w:val="center"/>
          </w:tcPr>
          <w:p>
            <w:r/>
            <w:r>
              <w:rPr>
                <w:rFonts w:ascii="Mendl Sans Dusk Regular" w:hAnsi="Mendl Sans Dusk Regular" w:eastAsia="Mendl Sans Dusk Regular" w:cs="Mendl Sans Dusk Regular"/>
                <w:b w:val="0"/>
                <w:color w:val="202723"/>
                <w:sz w:val="17"/>
              </w:rPr>
              <w:t>/public-sector/tri-state-government-construction</w:t>
            </w:r>
          </w:p>
        </w:tc>
        <w:tc>
          <w:tcPr>
            <w:tcW w:type="dxa" w:w="3240"/>
            <w:vAlign w:val="center"/>
          </w:tcPr>
          <w:p>
            <w:r/>
            <w:r>
              <w:rPr>
                <w:rFonts w:ascii="Mendl Sans Dusk Regular" w:hAnsi="Mendl Sans Dusk Regular" w:eastAsia="Mendl Sans Dusk Regular" w:cs="Mendl Sans Dusk Regular"/>
                <w:b w:val="0"/>
                <w:color w:val="202723"/>
                <w:sz w:val="17"/>
              </w:rPr>
              <w:t>Three States. One Accountable Standard.</w:t>
            </w:r>
          </w:p>
        </w:tc>
        <w:tc>
          <w:tcPr>
            <w:tcW w:type="dxa" w:w="5256"/>
            <w:vAlign w:val="center"/>
          </w:tcPr>
          <w:p>
            <w:r/>
            <w:r>
              <w:rPr>
                <w:rFonts w:ascii="Mendl Sans Dusk Regular" w:hAnsi="Mendl Sans Dusk Regular" w:eastAsia="Mendl Sans Dusk Regular" w:cs="Mendl Sans Dusk Regular"/>
                <w:b w:val="0"/>
                <w:color w:val="202723"/>
                <w:sz w:val="17"/>
              </w:rPr>
              <w:t>Licensing may cross state lines, but our obligation stays constant: know the requirements, document the work, and protect the public trust.</w:t>
            </w:r>
          </w:p>
        </w:tc>
      </w:tr>
      <w:tr>
        <w:tc>
          <w:tcPr>
            <w:tcW w:type="dxa" w:w="2088"/>
            <w:vAlign w:val="center"/>
          </w:tcPr>
          <w:p>
            <w:r/>
            <w:r>
              <w:rPr>
                <w:rFonts w:ascii="Mendl Sans Dusk Regular" w:hAnsi="Mendl Sans Dusk Regular" w:eastAsia="Mendl Sans Dusk Regular" w:cs="Mendl Sans Dusk Regular"/>
                <w:b w:val="0"/>
                <w:color w:val="202723"/>
                <w:sz w:val="17"/>
              </w:rPr>
              <w:t>/public-sector/veteran-led-compliance</w:t>
            </w:r>
          </w:p>
        </w:tc>
        <w:tc>
          <w:tcPr>
            <w:tcW w:type="dxa" w:w="3240"/>
            <w:vAlign w:val="center"/>
          </w:tcPr>
          <w:p>
            <w:r/>
            <w:r>
              <w:rPr>
                <w:rFonts w:ascii="Mendl Sans Dusk Regular" w:hAnsi="Mendl Sans Dusk Regular" w:eastAsia="Mendl Sans Dusk Regular" w:cs="Mendl Sans Dusk Regular"/>
                <w:b w:val="0"/>
                <w:color w:val="202723"/>
                <w:sz w:val="17"/>
              </w:rPr>
              <w:t>Service-Earned Discipline. Audit-Ready Execution.</w:t>
            </w:r>
          </w:p>
        </w:tc>
        <w:tc>
          <w:tcPr>
            <w:tcW w:type="dxa" w:w="5256"/>
            <w:vAlign w:val="center"/>
          </w:tcPr>
          <w:p>
            <w:r/>
            <w:r>
              <w:rPr>
                <w:rFonts w:ascii="Mendl Sans Dusk Regular" w:hAnsi="Mendl Sans Dusk Regular" w:eastAsia="Mendl Sans Dusk Regular" w:cs="Mendl Sans Dusk Regular"/>
                <w:b w:val="0"/>
                <w:color w:val="202723"/>
                <w:sz w:val="17"/>
              </w:rPr>
              <w:t>Compliance is not paperwork after the fact. It is a command responsibility built into planning, execution, and closeout.</w:t>
            </w:r>
          </w:p>
        </w:tc>
      </w:tr>
      <w:tr>
        <w:tc>
          <w:tcPr>
            <w:tcW w:type="dxa" w:w="2088"/>
            <w:vAlign w:val="center"/>
          </w:tcPr>
          <w:p>
            <w:r/>
            <w:r>
              <w:rPr>
                <w:rFonts w:ascii="Mendl Sans Dusk Regular" w:hAnsi="Mendl Sans Dusk Regular" w:eastAsia="Mendl Sans Dusk Regular" w:cs="Mendl Sans Dusk Regular"/>
                <w:b w:val="0"/>
                <w:color w:val="202723"/>
                <w:sz w:val="17"/>
              </w:rPr>
              <w:t>/public-sector/veteran-led-construction</w:t>
            </w:r>
          </w:p>
        </w:tc>
        <w:tc>
          <w:tcPr>
            <w:tcW w:type="dxa" w:w="3240"/>
            <w:vAlign w:val="center"/>
          </w:tcPr>
          <w:p>
            <w:r/>
            <w:r>
              <w:rPr>
                <w:rFonts w:ascii="Mendl Sans Dusk Regular" w:hAnsi="Mendl Sans Dusk Regular" w:eastAsia="Mendl Sans Dusk Regular" w:cs="Mendl Sans Dusk Regular"/>
                <w:b w:val="0"/>
                <w:color w:val="202723"/>
                <w:sz w:val="17"/>
              </w:rPr>
              <w:t>Veteran-Led. Mission-Ready. Publicly Accountable.</w:t>
            </w:r>
          </w:p>
        </w:tc>
        <w:tc>
          <w:tcPr>
            <w:tcW w:type="dxa" w:w="5256"/>
            <w:vAlign w:val="center"/>
          </w:tcPr>
          <w:p>
            <w:r/>
            <w:r>
              <w:rPr>
                <w:rFonts w:ascii="Mendl Sans Dusk Regular" w:hAnsi="Mendl Sans Dusk Regular" w:eastAsia="Mendl Sans Dusk Regular" w:cs="Mendl Sans Dusk Regular"/>
                <w:b w:val="0"/>
                <w:color w:val="202723"/>
                <w:sz w:val="17"/>
              </w:rPr>
              <w:t>Veteran leadership means bringing preparation, duty, and responsible stewardship to every public project we accept.</w:t>
            </w:r>
          </w:p>
        </w:tc>
      </w:tr>
      <w:tr>
        <w:tc>
          <w:tcPr>
            <w:tcW w:type="dxa" w:w="2088"/>
            <w:vAlign w:val="center"/>
          </w:tcPr>
          <w:p>
            <w:r/>
            <w:r>
              <w:rPr>
                <w:rFonts w:ascii="Mendl Sans Dusk Regular" w:hAnsi="Mendl Sans Dusk Regular" w:eastAsia="Mendl Sans Dusk Regular" w:cs="Mendl Sans Dusk Regular"/>
                <w:b w:val="0"/>
                <w:color w:val="202723"/>
                <w:sz w:val="17"/>
              </w:rPr>
              <w:t>/qr-codes</w:t>
            </w:r>
          </w:p>
        </w:tc>
        <w:tc>
          <w:tcPr>
            <w:tcW w:type="dxa" w:w="3240"/>
            <w:vAlign w:val="center"/>
          </w:tcPr>
          <w:p>
            <w:r/>
            <w:r>
              <w:rPr>
                <w:rFonts w:ascii="Mendl Sans Dusk Regular" w:hAnsi="Mendl Sans Dusk Regular" w:eastAsia="Mendl Sans Dusk Regular" w:cs="Mendl Sans Dusk Regular"/>
                <w:b w:val="0"/>
                <w:color w:val="202723"/>
                <w:sz w:val="17"/>
              </w:rPr>
              <w:t>One Scan. Current Information.</w:t>
            </w:r>
          </w:p>
        </w:tc>
        <w:tc>
          <w:tcPr>
            <w:tcW w:type="dxa" w:w="5256"/>
            <w:vAlign w:val="center"/>
          </w:tcPr>
          <w:p>
            <w:r/>
            <w:r>
              <w:rPr>
                <w:rFonts w:ascii="Mendl Sans Dusk Regular" w:hAnsi="Mendl Sans Dusk Regular" w:eastAsia="Mendl Sans Dusk Regular" w:cs="Mendl Sans Dusk Regular"/>
                <w:b w:val="0"/>
                <w:color w:val="202723"/>
                <w:sz w:val="17"/>
              </w:rPr>
              <w:t>A barcode should connect the field to the right record quickly, accurately, and without creating another shadow system.</w:t>
            </w:r>
          </w:p>
        </w:tc>
      </w:tr>
      <w:tr>
        <w:tc>
          <w:tcPr>
            <w:tcW w:type="dxa" w:w="2088"/>
            <w:vAlign w:val="center"/>
          </w:tcPr>
          <w:p>
            <w:r/>
            <w:r>
              <w:rPr>
                <w:rFonts w:ascii="Mendl Sans Dusk Regular" w:hAnsi="Mendl Sans Dusk Regular" w:eastAsia="Mendl Sans Dusk Regular" w:cs="Mendl Sans Dusk Regular"/>
                <w:b w:val="0"/>
                <w:color w:val="202723"/>
                <w:sz w:val="17"/>
              </w:rPr>
              <w:t>/resources</w:t>
            </w:r>
          </w:p>
        </w:tc>
        <w:tc>
          <w:tcPr>
            <w:tcW w:type="dxa" w:w="3240"/>
            <w:vAlign w:val="center"/>
          </w:tcPr>
          <w:p>
            <w:r/>
            <w:r>
              <w:rPr>
                <w:rFonts w:ascii="Mendl Sans Dusk Regular" w:hAnsi="Mendl Sans Dusk Regular" w:eastAsia="Mendl Sans Dusk Regular" w:cs="Mendl Sans Dusk Regular"/>
                <w:b w:val="0"/>
                <w:color w:val="202723"/>
                <w:sz w:val="17"/>
              </w:rPr>
              <w:t>Clear Information Keeps Work Moving.</w:t>
            </w:r>
          </w:p>
        </w:tc>
        <w:tc>
          <w:tcPr>
            <w:tcW w:type="dxa" w:w="5256"/>
            <w:vAlign w:val="center"/>
          </w:tcPr>
          <w:p>
            <w:r/>
            <w:r>
              <w:rPr>
                <w:rFonts w:ascii="Mendl Sans Dusk Regular" w:hAnsi="Mendl Sans Dusk Regular" w:eastAsia="Mendl Sans Dusk Regular" w:cs="Mendl Sans Dusk Regular"/>
                <w:b w:val="0"/>
                <w:color w:val="202723"/>
                <w:sz w:val="17"/>
              </w:rPr>
              <w:t>Information only works when the right person can find it, understand it, and act on it before the work is affected.</w:t>
            </w:r>
          </w:p>
        </w:tc>
      </w:tr>
      <w:tr>
        <w:tc>
          <w:tcPr>
            <w:tcW w:type="dxa" w:w="2088"/>
            <w:vAlign w:val="center"/>
          </w:tcPr>
          <w:p>
            <w:r/>
            <w:r>
              <w:rPr>
                <w:rFonts w:ascii="Mendl Sans Dusk Regular" w:hAnsi="Mendl Sans Dusk Regular" w:eastAsia="Mendl Sans Dusk Regular" w:cs="Mendl Sans Dusk Regular"/>
                <w:b w:val="0"/>
                <w:color w:val="202723"/>
                <w:sz w:val="17"/>
              </w:rPr>
              <w:t>/resources/safety-manual</w:t>
            </w:r>
          </w:p>
        </w:tc>
        <w:tc>
          <w:tcPr>
            <w:tcW w:type="dxa" w:w="3240"/>
            <w:vAlign w:val="center"/>
          </w:tcPr>
          <w:p>
            <w:r/>
            <w:r>
              <w:rPr>
                <w:rFonts w:ascii="Mendl Sans Dusk Regular" w:hAnsi="Mendl Sans Dusk Regular" w:eastAsia="Mendl Sans Dusk Regular" w:cs="Mendl Sans Dusk Regular"/>
                <w:b w:val="0"/>
                <w:color w:val="202723"/>
                <w:sz w:val="17"/>
              </w:rPr>
              <w:t>The Standard Must Be Available at the Point of Work.</w:t>
            </w:r>
          </w:p>
        </w:tc>
        <w:tc>
          <w:tcPr>
            <w:tcW w:type="dxa" w:w="5256"/>
            <w:vAlign w:val="center"/>
          </w:tcPr>
          <w:p>
            <w:r/>
            <w:r>
              <w:rPr>
                <w:rFonts w:ascii="Mendl Sans Dusk Regular" w:hAnsi="Mendl Sans Dusk Regular" w:eastAsia="Mendl Sans Dusk Regular" w:cs="Mendl Sans Dusk Regular"/>
                <w:b w:val="0"/>
                <w:color w:val="202723"/>
                <w:sz w:val="17"/>
              </w:rPr>
              <w:t>A safety manual earns its place when the field can reach it, understand it, and use it before the task begins.</w:t>
            </w:r>
          </w:p>
        </w:tc>
      </w:tr>
      <w:tr>
        <w:tc>
          <w:tcPr>
            <w:tcW w:type="dxa" w:w="2088"/>
            <w:vAlign w:val="center"/>
          </w:tcPr>
          <w:p>
            <w:r/>
            <w:r>
              <w:rPr>
                <w:rFonts w:ascii="Mendl Sans Dusk Regular" w:hAnsi="Mendl Sans Dusk Regular" w:eastAsia="Mendl Sans Dusk Regular" w:cs="Mendl Sans Dusk Regular"/>
                <w:b w:val="0"/>
                <w:color w:val="202723"/>
                <w:sz w:val="17"/>
              </w:rPr>
              <w:t>/resources/safety-manual/:cluster</w:t>
            </w:r>
          </w:p>
        </w:tc>
        <w:tc>
          <w:tcPr>
            <w:tcW w:type="dxa" w:w="3240"/>
            <w:vAlign w:val="center"/>
          </w:tcPr>
          <w:p>
            <w:r/>
            <w:r>
              <w:rPr>
                <w:rFonts w:ascii="Mendl Sans Dusk Regular" w:hAnsi="Mendl Sans Dusk Regular" w:eastAsia="Mendl Sans Dusk Regular" w:cs="Mendl Sans Dusk Regular"/>
                <w:b w:val="0"/>
                <w:color w:val="202723"/>
                <w:sz w:val="17"/>
              </w:rPr>
              <w:t>Related Hazards Require One Coordinated View.</w:t>
            </w:r>
          </w:p>
        </w:tc>
        <w:tc>
          <w:tcPr>
            <w:tcW w:type="dxa" w:w="5256"/>
            <w:vAlign w:val="center"/>
          </w:tcPr>
          <w:p>
            <w:r/>
            <w:r>
              <w:rPr>
                <w:rFonts w:ascii="Mendl Sans Dusk Regular" w:hAnsi="Mendl Sans Dusk Regular" w:eastAsia="Mendl Sans Dusk Regular" w:cs="Mendl Sans Dusk Regular"/>
                <w:b w:val="0"/>
                <w:color w:val="202723"/>
                <w:sz w:val="17"/>
              </w:rPr>
              <w:t>Safety controls work better when connected hazards, roles, and records are reviewed as one operating picture.</w:t>
            </w:r>
          </w:p>
        </w:tc>
      </w:tr>
      <w:tr>
        <w:tc>
          <w:tcPr>
            <w:tcW w:type="dxa" w:w="2088"/>
            <w:vAlign w:val="center"/>
          </w:tcPr>
          <w:p>
            <w:r/>
            <w:r>
              <w:rPr>
                <w:rFonts w:ascii="Mendl Sans Dusk Regular" w:hAnsi="Mendl Sans Dusk Regular" w:eastAsia="Mendl Sans Dusk Regular" w:cs="Mendl Sans Dusk Regular"/>
                <w:b w:val="0"/>
                <w:color w:val="202723"/>
                <w:sz w:val="17"/>
              </w:rPr>
              <w:t>/resources/safety-manual/contents</w:t>
            </w:r>
          </w:p>
        </w:tc>
        <w:tc>
          <w:tcPr>
            <w:tcW w:type="dxa" w:w="3240"/>
            <w:vAlign w:val="center"/>
          </w:tcPr>
          <w:p>
            <w:r/>
            <w:r>
              <w:rPr>
                <w:rFonts w:ascii="Mendl Sans Dusk Regular" w:hAnsi="Mendl Sans Dusk Regular" w:eastAsia="Mendl Sans Dusk Regular" w:cs="Mendl Sans Dusk Regular"/>
                <w:b w:val="0"/>
                <w:color w:val="202723"/>
                <w:sz w:val="17"/>
              </w:rPr>
              <w:t>Know the Standard Before You Need It.</w:t>
            </w:r>
          </w:p>
        </w:tc>
        <w:tc>
          <w:tcPr>
            <w:tcW w:type="dxa" w:w="5256"/>
            <w:vAlign w:val="center"/>
          </w:tcPr>
          <w:p>
            <w:r/>
            <w:r>
              <w:rPr>
                <w:rFonts w:ascii="Mendl Sans Dusk Regular" w:hAnsi="Mendl Sans Dusk Regular" w:eastAsia="Mendl Sans Dusk Regular" w:cs="Mendl Sans Dusk Regular"/>
                <w:b w:val="0"/>
                <w:color w:val="202723"/>
                <w:sz w:val="17"/>
              </w:rPr>
              <w:t>A clear table of contents is a readiness tool: it gets the team to the right control before delay becomes exposure.</w:t>
            </w:r>
          </w:p>
        </w:tc>
      </w:tr>
      <w:tr>
        <w:tc>
          <w:tcPr>
            <w:tcW w:type="dxa" w:w="2088"/>
            <w:vAlign w:val="center"/>
          </w:tcPr>
          <w:p>
            <w:r/>
            <w:r>
              <w:rPr>
                <w:rFonts w:ascii="Mendl Sans Dusk Regular" w:hAnsi="Mendl Sans Dusk Regular" w:eastAsia="Mendl Sans Dusk Regular" w:cs="Mendl Sans Dusk Regular"/>
                <w:b w:val="0"/>
                <w:color w:val="202723"/>
                <w:sz w:val="17"/>
              </w:rPr>
              <w:t>/resources/safety-manual/forms</w:t>
            </w:r>
          </w:p>
        </w:tc>
        <w:tc>
          <w:tcPr>
            <w:tcW w:type="dxa" w:w="3240"/>
            <w:vAlign w:val="center"/>
          </w:tcPr>
          <w:p>
            <w:r/>
            <w:r>
              <w:rPr>
                <w:rFonts w:ascii="Mendl Sans Dusk Regular" w:hAnsi="Mendl Sans Dusk Regular" w:eastAsia="Mendl Sans Dusk Regular" w:cs="Mendl Sans Dusk Regular"/>
                <w:b w:val="0"/>
                <w:color w:val="202723"/>
                <w:sz w:val="17"/>
              </w:rPr>
              <w:t>If It Is Not Recorded, the Loop Is Not Closed.</w:t>
            </w:r>
          </w:p>
        </w:tc>
        <w:tc>
          <w:tcPr>
            <w:tcW w:type="dxa" w:w="5256"/>
            <w:vAlign w:val="center"/>
          </w:tcPr>
          <w:p>
            <w:r/>
            <w:r>
              <w:rPr>
                <w:rFonts w:ascii="Mendl Sans Dusk Regular" w:hAnsi="Mendl Sans Dusk Regular" w:eastAsia="Mendl Sans Dusk Regular" w:cs="Mendl Sans Dusk Regular"/>
                <w:b w:val="0"/>
                <w:color w:val="202723"/>
                <w:sz w:val="17"/>
              </w:rPr>
              <w:t>Forms are not paperwork for its own sake. They prove the check occurred, the issue was assigned, and the corrective action was completed.</w:t>
            </w:r>
          </w:p>
        </w:tc>
      </w:tr>
      <w:tr>
        <w:tc>
          <w:tcPr>
            <w:tcW w:type="dxa" w:w="2088"/>
            <w:vAlign w:val="center"/>
          </w:tcPr>
          <w:p>
            <w:r/>
            <w:r>
              <w:rPr>
                <w:rFonts w:ascii="Mendl Sans Dusk Regular" w:hAnsi="Mendl Sans Dusk Regular" w:eastAsia="Mendl Sans Dusk Regular" w:cs="Mendl Sans Dusk Regular"/>
                <w:b w:val="0"/>
                <w:color w:val="202723"/>
                <w:sz w:val="17"/>
              </w:rPr>
              <w:t>/resources/safety-manual/section/:slug</w:t>
            </w:r>
          </w:p>
        </w:tc>
        <w:tc>
          <w:tcPr>
            <w:tcW w:type="dxa" w:w="3240"/>
            <w:vAlign w:val="center"/>
          </w:tcPr>
          <w:p>
            <w:r/>
            <w:r>
              <w:rPr>
                <w:rFonts w:ascii="Mendl Sans Dusk Regular" w:hAnsi="Mendl Sans Dusk Regular" w:eastAsia="Mendl Sans Dusk Regular" w:cs="Mendl Sans Dusk Regular"/>
                <w:b w:val="0"/>
                <w:color w:val="202723"/>
                <w:sz w:val="17"/>
              </w:rPr>
              <w:t>Every Control Has a Point of Work.</w:t>
            </w:r>
          </w:p>
        </w:tc>
        <w:tc>
          <w:tcPr>
            <w:tcW w:type="dxa" w:w="5256"/>
            <w:vAlign w:val="center"/>
          </w:tcPr>
          <w:p>
            <w:r/>
            <w:r>
              <w:rPr>
                <w:rFonts w:ascii="Mendl Sans Dusk Regular" w:hAnsi="Mendl Sans Dusk Regular" w:eastAsia="Mendl Sans Dusk Regular" w:cs="Mendl Sans Dusk Regular"/>
                <w:b w:val="0"/>
                <w:color w:val="202723"/>
                <w:sz w:val="17"/>
              </w:rPr>
              <w:t>A written requirement matters only when the responsible person understands where, when, and how to apply it.</w:t>
            </w:r>
          </w:p>
        </w:tc>
      </w:tr>
      <w:tr>
        <w:tc>
          <w:tcPr>
            <w:tcW w:type="dxa" w:w="2088"/>
            <w:vAlign w:val="center"/>
          </w:tcPr>
          <w:p>
            <w:r/>
            <w:r>
              <w:rPr>
                <w:rFonts w:ascii="Mendl Sans Dusk Regular" w:hAnsi="Mendl Sans Dusk Regular" w:eastAsia="Mendl Sans Dusk Regular" w:cs="Mendl Sans Dusk Regular"/>
                <w:b w:val="0"/>
                <w:color w:val="202723"/>
                <w:sz w:val="17"/>
              </w:rPr>
              <w:t>/resources/safety-program</w:t>
            </w:r>
          </w:p>
        </w:tc>
        <w:tc>
          <w:tcPr>
            <w:tcW w:type="dxa" w:w="3240"/>
            <w:vAlign w:val="center"/>
          </w:tcPr>
          <w:p>
            <w:r/>
            <w:r>
              <w:rPr>
                <w:rFonts w:ascii="Mendl Sans Dusk Regular" w:hAnsi="Mendl Sans Dusk Regular" w:eastAsia="Mendl Sans Dusk Regular" w:cs="Mendl Sans Dusk Regular"/>
                <w:b w:val="0"/>
                <w:color w:val="202723"/>
                <w:sz w:val="17"/>
              </w:rPr>
              <w:t>Safety Is a System, Not a Slogan.</w:t>
            </w:r>
          </w:p>
        </w:tc>
        <w:tc>
          <w:tcPr>
            <w:tcW w:type="dxa" w:w="5256"/>
            <w:vAlign w:val="center"/>
          </w:tcPr>
          <w:p>
            <w:r/>
            <w:r>
              <w:rPr>
                <w:rFonts w:ascii="Mendl Sans Dusk Regular" w:hAnsi="Mendl Sans Dusk Regular" w:eastAsia="Mendl Sans Dusk Regular" w:cs="Mendl Sans Dusk Regular"/>
                <w:b w:val="0"/>
                <w:color w:val="202723"/>
                <w:sz w:val="17"/>
              </w:rPr>
              <w:t>Strong safety performance comes from planning, training, field authority, accurate records, and correction before repetition.</w:t>
            </w:r>
          </w:p>
        </w:tc>
      </w:tr>
      <w:tr>
        <w:tc>
          <w:tcPr>
            <w:tcW w:type="dxa" w:w="2088"/>
            <w:vAlign w:val="center"/>
          </w:tcPr>
          <w:p>
            <w:r/>
            <w:r>
              <w:rPr>
                <w:rFonts w:ascii="Mendl Sans Dusk Regular" w:hAnsi="Mendl Sans Dusk Regular" w:eastAsia="Mendl Sans Dusk Regular" w:cs="Mendl Sans Dusk Regular"/>
                <w:b w:val="0"/>
                <w:color w:val="202723"/>
                <w:sz w:val="17"/>
              </w:rPr>
              <w:t>/resources/terminology</w:t>
            </w:r>
          </w:p>
        </w:tc>
        <w:tc>
          <w:tcPr>
            <w:tcW w:type="dxa" w:w="3240"/>
            <w:vAlign w:val="center"/>
          </w:tcPr>
          <w:p>
            <w:r/>
            <w:r>
              <w:rPr>
                <w:rFonts w:ascii="Mendl Sans Dusk Regular" w:hAnsi="Mendl Sans Dusk Regular" w:eastAsia="Mendl Sans Dusk Regular" w:cs="Mendl Sans Dusk Regular"/>
                <w:b w:val="0"/>
                <w:color w:val="202723"/>
                <w:sz w:val="17"/>
              </w:rPr>
              <w:t>Shared Language Builds Shared Understanding.</w:t>
            </w:r>
          </w:p>
        </w:tc>
        <w:tc>
          <w:tcPr>
            <w:tcW w:type="dxa" w:w="5256"/>
            <w:vAlign w:val="center"/>
          </w:tcPr>
          <w:p>
            <w:r/>
            <w:r>
              <w:rPr>
                <w:rFonts w:ascii="Mendl Sans Dusk Regular" w:hAnsi="Mendl Sans Dusk Regular" w:eastAsia="Mendl Sans Dusk Regular" w:cs="Mendl Sans Dusk Regular"/>
                <w:b w:val="0"/>
                <w:color w:val="202723"/>
                <w:sz w:val="17"/>
              </w:rPr>
              <w:t>When the office and field use the same terms the same way, decisions move faster and accountability stays clear.</w:t>
            </w:r>
          </w:p>
        </w:tc>
      </w:tr>
      <w:tr>
        <w:tc>
          <w:tcPr>
            <w:tcW w:type="dxa" w:w="2088"/>
            <w:vAlign w:val="center"/>
          </w:tcPr>
          <w:p>
            <w:r/>
            <w:r>
              <w:rPr>
                <w:rFonts w:ascii="Mendl Sans Dusk Regular" w:hAnsi="Mendl Sans Dusk Regular" w:eastAsia="Mendl Sans Dusk Regular" w:cs="Mendl Sans Dusk Regular"/>
                <w:b w:val="0"/>
                <w:color w:val="202723"/>
                <w:sz w:val="17"/>
              </w:rPr>
              <w:t>/safety</w:t>
            </w:r>
          </w:p>
        </w:tc>
        <w:tc>
          <w:tcPr>
            <w:tcW w:type="dxa" w:w="3240"/>
            <w:vAlign w:val="center"/>
          </w:tcPr>
          <w:p>
            <w:r/>
            <w:r>
              <w:rPr>
                <w:rFonts w:ascii="Mendl Sans Dusk Regular" w:hAnsi="Mendl Sans Dusk Regular" w:eastAsia="Mendl Sans Dusk Regular" w:cs="Mendl Sans Dusk Regular"/>
                <w:b w:val="0"/>
                <w:color w:val="202723"/>
                <w:sz w:val="17"/>
              </w:rPr>
              <w:t>The Schedule Never Outranks Safety.</w:t>
            </w:r>
          </w:p>
        </w:tc>
        <w:tc>
          <w:tcPr>
            <w:tcW w:type="dxa" w:w="5256"/>
            <w:vAlign w:val="center"/>
          </w:tcPr>
          <w:p>
            <w:r/>
            <w:r>
              <w:rPr>
                <w:rFonts w:ascii="Mendl Sans Dusk Regular" w:hAnsi="Mendl Sans Dusk Regular" w:eastAsia="Mendl Sans Dusk Regular" w:cs="Mendl Sans Dusk Regular"/>
                <w:b w:val="0"/>
                <w:color w:val="202723"/>
                <w:sz w:val="17"/>
              </w:rPr>
              <w:t>No milestone is worth sending someone home injured. We plan the work so safety, production, and quality move together.</w:t>
            </w:r>
          </w:p>
        </w:tc>
      </w:tr>
      <w:tr>
        <w:tc>
          <w:tcPr>
            <w:tcW w:type="dxa" w:w="2088"/>
            <w:vAlign w:val="center"/>
          </w:tcPr>
          <w:p>
            <w:r/>
            <w:r>
              <w:rPr>
                <w:rFonts w:ascii="Mendl Sans Dusk Regular" w:hAnsi="Mendl Sans Dusk Regular" w:eastAsia="Mendl Sans Dusk Regular" w:cs="Mendl Sans Dusk Regular"/>
                <w:b w:val="0"/>
                <w:color w:val="202723"/>
                <w:sz w:val="17"/>
              </w:rPr>
              <w:t>/safety/incident-report</w:t>
            </w:r>
          </w:p>
        </w:tc>
        <w:tc>
          <w:tcPr>
            <w:tcW w:type="dxa" w:w="3240"/>
            <w:vAlign w:val="center"/>
          </w:tcPr>
          <w:p>
            <w:r/>
            <w:r>
              <w:rPr>
                <w:rFonts w:ascii="Mendl Sans Dusk Regular" w:hAnsi="Mendl Sans Dusk Regular" w:eastAsia="Mendl Sans Dusk Regular" w:cs="Mendl Sans Dusk Regular"/>
                <w:b w:val="0"/>
                <w:color w:val="202723"/>
                <w:sz w:val="17"/>
              </w:rPr>
              <w:t>Report Fast. Preserve Facts. Correct the Cause.</w:t>
            </w:r>
          </w:p>
        </w:tc>
        <w:tc>
          <w:tcPr>
            <w:tcW w:type="dxa" w:w="5256"/>
            <w:vAlign w:val="center"/>
          </w:tcPr>
          <w:p>
            <w:r/>
            <w:r>
              <w:rPr>
                <w:rFonts w:ascii="Mendl Sans Dusk Regular" w:hAnsi="Mendl Sans Dusk Regular" w:eastAsia="Mendl Sans Dusk Regular" w:cs="Mendl Sans Dusk Regular"/>
                <w:b w:val="0"/>
                <w:color w:val="202723"/>
                <w:sz w:val="17"/>
              </w:rPr>
              <w:t>An incident report is the start of corrective action, not the end of responsibility. Secure the scene, document the facts, and close the cause.</w:t>
            </w:r>
          </w:p>
        </w:tc>
      </w:tr>
      <w:tr>
        <w:tc>
          <w:tcPr>
            <w:tcW w:type="dxa" w:w="2088"/>
            <w:vAlign w:val="center"/>
          </w:tcPr>
          <w:p>
            <w:r/>
            <w:r>
              <w:rPr>
                <w:rFonts w:ascii="Mendl Sans Dusk Regular" w:hAnsi="Mendl Sans Dusk Regular" w:eastAsia="Mendl Sans Dusk Regular" w:cs="Mendl Sans Dusk Regular"/>
                <w:b w:val="0"/>
                <w:color w:val="202723"/>
                <w:sz w:val="17"/>
              </w:rPr>
              <w:t>/safety/intake</w:t>
            </w:r>
          </w:p>
        </w:tc>
        <w:tc>
          <w:tcPr>
            <w:tcW w:type="dxa" w:w="3240"/>
            <w:vAlign w:val="center"/>
          </w:tcPr>
          <w:p>
            <w:r/>
            <w:r>
              <w:rPr>
                <w:rFonts w:ascii="Mendl Sans Dusk Regular" w:hAnsi="Mendl Sans Dusk Regular" w:eastAsia="Mendl Sans Dusk Regular" w:cs="Mendl Sans Dusk Regular"/>
                <w:b w:val="0"/>
                <w:color w:val="202723"/>
                <w:sz w:val="17"/>
              </w:rPr>
              <w:t>Raise the Signal Before the Risk Grows.</w:t>
            </w:r>
          </w:p>
        </w:tc>
        <w:tc>
          <w:tcPr>
            <w:tcW w:type="dxa" w:w="5256"/>
            <w:vAlign w:val="center"/>
          </w:tcPr>
          <w:p>
            <w:r/>
            <w:r>
              <w:rPr>
                <w:rFonts w:ascii="Mendl Sans Dusk Regular" w:hAnsi="Mendl Sans Dusk Regular" w:eastAsia="Mendl Sans Dusk Regular" w:cs="Mendl Sans Dusk Regular"/>
                <w:b w:val="0"/>
                <w:color w:val="202723"/>
                <w:sz w:val="17"/>
              </w:rPr>
              <w:t>We want concerns reported early. A small warning handled today can prevent a serious event tomorrow.</w:t>
            </w:r>
          </w:p>
        </w:tc>
      </w:tr>
      <w:tr>
        <w:tc>
          <w:tcPr>
            <w:tcW w:type="dxa" w:w="2088"/>
            <w:vAlign w:val="center"/>
          </w:tcPr>
          <w:p>
            <w:r/>
            <w:r>
              <w:rPr>
                <w:rFonts w:ascii="Mendl Sans Dusk Regular" w:hAnsi="Mendl Sans Dusk Regular" w:eastAsia="Mendl Sans Dusk Regular" w:cs="Mendl Sans Dusk Regular"/>
                <w:b w:val="0"/>
                <w:color w:val="202723"/>
                <w:sz w:val="17"/>
              </w:rPr>
              <w:t>/safety/print/:id</w:t>
            </w:r>
          </w:p>
        </w:tc>
        <w:tc>
          <w:tcPr>
            <w:tcW w:type="dxa" w:w="3240"/>
            <w:vAlign w:val="center"/>
          </w:tcPr>
          <w:p>
            <w:r/>
            <w:r>
              <w:rPr>
                <w:rFonts w:ascii="Mendl Sans Dusk Regular" w:hAnsi="Mendl Sans Dusk Regular" w:eastAsia="Mendl Sans Dusk Regular" w:cs="Mendl Sans Dusk Regular"/>
                <w:b w:val="0"/>
                <w:color w:val="202723"/>
                <w:sz w:val="17"/>
              </w:rPr>
              <w:t>The Field Copy Must Match the Controlled Record.</w:t>
            </w:r>
          </w:p>
        </w:tc>
        <w:tc>
          <w:tcPr>
            <w:tcW w:type="dxa" w:w="5256"/>
            <w:vAlign w:val="center"/>
          </w:tcPr>
          <w:p>
            <w:r/>
            <w:r>
              <w:rPr>
                <w:rFonts w:ascii="Mendl Sans Dusk Regular" w:hAnsi="Mendl Sans Dusk Regular" w:eastAsia="Mendl Sans Dusk Regular" w:cs="Mendl Sans Dusk Regular"/>
                <w:b w:val="0"/>
                <w:color w:val="202723"/>
                <w:sz w:val="17"/>
              </w:rPr>
              <w:t>Printed safety information must be current, legible, and traceable to the approved source before it reaches the jobsite.</w:t>
            </w:r>
          </w:p>
        </w:tc>
      </w:tr>
      <w:tr>
        <w:tc>
          <w:tcPr>
            <w:tcW w:type="dxa" w:w="2088"/>
            <w:vAlign w:val="center"/>
          </w:tcPr>
          <w:p>
            <w:r/>
            <w:r>
              <w:rPr>
                <w:rFonts w:ascii="Mendl Sans Dusk Regular" w:hAnsi="Mendl Sans Dusk Regular" w:eastAsia="Mendl Sans Dusk Regular" w:cs="Mendl Sans Dusk Regular"/>
                <w:b w:val="0"/>
                <w:color w:val="202723"/>
                <w:sz w:val="17"/>
              </w:rPr>
              <w:t>/services</w:t>
            </w:r>
          </w:p>
        </w:tc>
        <w:tc>
          <w:tcPr>
            <w:tcW w:type="dxa" w:w="3240"/>
            <w:vAlign w:val="center"/>
          </w:tcPr>
          <w:p>
            <w:r/>
            <w:r>
              <w:rPr>
                <w:rFonts w:ascii="Mendl Sans Dusk Regular" w:hAnsi="Mendl Sans Dusk Regular" w:eastAsia="Mendl Sans Dusk Regular" w:cs="Mendl Sans Dusk Regular"/>
                <w:b w:val="0"/>
                <w:color w:val="202723"/>
                <w:sz w:val="17"/>
              </w:rPr>
              <w:t>Squared Away from Start to Finish.</w:t>
            </w:r>
          </w:p>
        </w:tc>
        <w:tc>
          <w:tcPr>
            <w:tcW w:type="dxa" w:w="5256"/>
            <w:vAlign w:val="center"/>
          </w:tcPr>
          <w:p>
            <w:r/>
            <w:r>
              <w:rPr>
                <w:rFonts w:ascii="Mendl Sans Dusk Regular" w:hAnsi="Mendl Sans Dusk Regular" w:eastAsia="Mendl Sans Dusk Regular" w:cs="Mendl Sans Dusk Regular"/>
                <w:b w:val="0"/>
                <w:color w:val="202723"/>
                <w:sz w:val="17"/>
              </w:rPr>
              <w:t>Every service we offer has one purpose: give the client a clear plan, a capable team, and a build they can rely on.</w:t>
            </w:r>
          </w:p>
        </w:tc>
      </w:tr>
      <w:tr>
        <w:tc>
          <w:tcPr>
            <w:tcW w:type="dxa" w:w="2088"/>
            <w:vAlign w:val="center"/>
          </w:tcPr>
          <w:p>
            <w:r/>
            <w:r>
              <w:rPr>
                <w:rFonts w:ascii="Mendl Sans Dusk Regular" w:hAnsi="Mendl Sans Dusk Regular" w:eastAsia="Mendl Sans Dusk Regular" w:cs="Mendl Sans Dusk Regular"/>
                <w:b w:val="0"/>
                <w:color w:val="202723"/>
                <w:sz w:val="17"/>
              </w:rPr>
              <w:t>/services/:slug</w:t>
            </w:r>
          </w:p>
        </w:tc>
        <w:tc>
          <w:tcPr>
            <w:tcW w:type="dxa" w:w="3240"/>
            <w:vAlign w:val="center"/>
          </w:tcPr>
          <w:p>
            <w:r/>
            <w:r>
              <w:rPr>
                <w:rFonts w:ascii="Mendl Sans Dusk Regular" w:hAnsi="Mendl Sans Dusk Regular" w:eastAsia="Mendl Sans Dusk Regular" w:cs="Mendl Sans Dusk Regular"/>
                <w:b w:val="0"/>
                <w:color w:val="202723"/>
                <w:sz w:val="17"/>
              </w:rPr>
              <w:t>Define the Scope. Control the Sequence. Deliver the Result.</w:t>
            </w:r>
          </w:p>
        </w:tc>
        <w:tc>
          <w:tcPr>
            <w:tcW w:type="dxa" w:w="5256"/>
            <w:vAlign w:val="center"/>
          </w:tcPr>
          <w:p>
            <w:r/>
            <w:r>
              <w:rPr>
                <w:rFonts w:ascii="Mendl Sans Dusk Regular" w:hAnsi="Mendl Sans Dusk Regular" w:eastAsia="Mendl Sans Dusk Regular" w:cs="Mendl Sans Dusk Regular"/>
                <w:b w:val="0"/>
                <w:color w:val="202723"/>
                <w:sz w:val="17"/>
              </w:rPr>
              <w:t>Specialized work succeeds when responsibilities, interfaces, constraints, and acceptance criteria are clear before field execution.</w:t>
            </w:r>
          </w:p>
        </w:tc>
      </w:tr>
      <w:tr>
        <w:tc>
          <w:tcPr>
            <w:tcW w:type="dxa" w:w="2088"/>
            <w:vAlign w:val="center"/>
          </w:tcPr>
          <w:p>
            <w:r/>
            <w:r>
              <w:rPr>
                <w:rFonts w:ascii="Mendl Sans Dusk Regular" w:hAnsi="Mendl Sans Dusk Regular" w:eastAsia="Mendl Sans Dusk Regular" w:cs="Mendl Sans Dusk Regular"/>
                <w:b w:val="0"/>
                <w:color w:val="202723"/>
                <w:sz w:val="17"/>
              </w:rPr>
              <w:t>/sitemap</w:t>
            </w:r>
          </w:p>
        </w:tc>
        <w:tc>
          <w:tcPr>
            <w:tcW w:type="dxa" w:w="3240"/>
            <w:vAlign w:val="center"/>
          </w:tcPr>
          <w:p>
            <w:r/>
            <w:r>
              <w:rPr>
                <w:rFonts w:ascii="Mendl Sans Dusk Regular" w:hAnsi="Mendl Sans Dusk Regular" w:eastAsia="Mendl Sans Dusk Regular" w:cs="Mendl Sans Dusk Regular"/>
                <w:b w:val="0"/>
                <w:color w:val="202723"/>
                <w:sz w:val="17"/>
              </w:rPr>
              <w:t>One Map to the Right Information.</w:t>
            </w:r>
          </w:p>
        </w:tc>
        <w:tc>
          <w:tcPr>
            <w:tcW w:type="dxa" w:w="5256"/>
            <w:vAlign w:val="center"/>
          </w:tcPr>
          <w:p>
            <w:r/>
            <w:r>
              <w:rPr>
                <w:rFonts w:ascii="Mendl Sans Dusk Regular" w:hAnsi="Mendl Sans Dusk Regular" w:eastAsia="Mendl Sans Dusk Regular" w:cs="Mendl Sans Dusk Regular"/>
                <w:b w:val="0"/>
                <w:color w:val="202723"/>
                <w:sz w:val="17"/>
              </w:rPr>
              <w:t>A good system does not make people hunt for the next step. It shows the route and keeps the destination clear.</w:t>
            </w:r>
          </w:p>
        </w:tc>
      </w:tr>
      <w:tr>
        <w:tc>
          <w:tcPr>
            <w:tcW w:type="dxa" w:w="2088"/>
            <w:vAlign w:val="center"/>
          </w:tcPr>
          <w:p>
            <w:r/>
            <w:r>
              <w:rPr>
                <w:rFonts w:ascii="Mendl Sans Dusk Regular" w:hAnsi="Mendl Sans Dusk Regular" w:eastAsia="Mendl Sans Dusk Regular" w:cs="Mendl Sans Dusk Regular"/>
                <w:b w:val="0"/>
                <w:color w:val="202723"/>
                <w:sz w:val="17"/>
              </w:rPr>
              <w:t>/team</w:t>
            </w:r>
          </w:p>
        </w:tc>
        <w:tc>
          <w:tcPr>
            <w:tcW w:type="dxa" w:w="3240"/>
            <w:vAlign w:val="center"/>
          </w:tcPr>
          <w:p>
            <w:r/>
            <w:r>
              <w:rPr>
                <w:rFonts w:ascii="Mendl Sans Dusk Regular" w:hAnsi="Mendl Sans Dusk Regular" w:eastAsia="Mendl Sans Dusk Regular" w:cs="Mendl Sans Dusk Regular"/>
                <w:b w:val="0"/>
                <w:color w:val="202723"/>
                <w:sz w:val="17"/>
              </w:rPr>
              <w:t>Authority Follows Responsibility.</w:t>
            </w:r>
          </w:p>
        </w:tc>
        <w:tc>
          <w:tcPr>
            <w:tcW w:type="dxa" w:w="5256"/>
            <w:vAlign w:val="center"/>
          </w:tcPr>
          <w:p>
            <w:r/>
            <w:r>
              <w:rPr>
                <w:rFonts w:ascii="Mendl Sans Dusk Regular" w:hAnsi="Mendl Sans Dusk Regular" w:eastAsia="Mendl Sans Dusk Regular" w:cs="Mendl Sans Dusk Regular"/>
                <w:b w:val="0"/>
                <w:color w:val="202723"/>
                <w:sz w:val="17"/>
              </w:rPr>
              <w:t>Titles establish responsibility. Character, competence, and follow-through earn the team's trust.</w:t>
            </w:r>
          </w:p>
        </w:tc>
      </w:tr>
      <w:tr>
        <w:tc>
          <w:tcPr>
            <w:tcW w:type="dxa" w:w="2088"/>
            <w:vAlign w:val="center"/>
          </w:tcPr>
          <w:p>
            <w:r/>
            <w:r>
              <w:rPr>
                <w:rFonts w:ascii="Mendl Sans Dusk Regular" w:hAnsi="Mendl Sans Dusk Regular" w:eastAsia="Mendl Sans Dusk Regular" w:cs="Mendl Sans Dusk Regular"/>
                <w:b w:val="0"/>
                <w:color w:val="202723"/>
                <w:sz w:val="17"/>
              </w:rPr>
              <w:t>/terms</w:t>
            </w:r>
          </w:p>
        </w:tc>
        <w:tc>
          <w:tcPr>
            <w:tcW w:type="dxa" w:w="3240"/>
            <w:vAlign w:val="center"/>
          </w:tcPr>
          <w:p>
            <w:r/>
            <w:r>
              <w:rPr>
                <w:rFonts w:ascii="Mendl Sans Dusk Regular" w:hAnsi="Mendl Sans Dusk Regular" w:eastAsia="Mendl Sans Dusk Regular" w:cs="Mendl Sans Dusk Regular"/>
                <w:b w:val="0"/>
                <w:color w:val="202723"/>
                <w:sz w:val="17"/>
              </w:rPr>
              <w:t>Clear Terms Protect Every Party.</w:t>
            </w:r>
          </w:p>
        </w:tc>
        <w:tc>
          <w:tcPr>
            <w:tcW w:type="dxa" w:w="5256"/>
            <w:vAlign w:val="center"/>
          </w:tcPr>
          <w:p>
            <w:r/>
            <w:r>
              <w:rPr>
                <w:rFonts w:ascii="Mendl Sans Dusk Regular" w:hAnsi="Mendl Sans Dusk Regular" w:eastAsia="Mendl Sans Dusk Regular" w:cs="Mendl Sans Dusk Regular"/>
                <w:b w:val="0"/>
                <w:color w:val="202723"/>
                <w:sz w:val="17"/>
              </w:rPr>
              <w:t>Straight agreements reduce friction. We state the conditions clearly so expectations remain aligned from first contact through closeout.</w:t>
            </w:r>
          </w:p>
        </w:tc>
      </w:tr>
      <w:tr>
        <w:tc>
          <w:tcPr>
            <w:tcW w:type="dxa" w:w="2088"/>
            <w:vAlign w:val="center"/>
          </w:tcPr>
          <w:p>
            <w:r/>
            <w:r>
              <w:rPr>
                <w:rFonts w:ascii="Mendl Sans Dusk Regular" w:hAnsi="Mendl Sans Dusk Regular" w:eastAsia="Mendl Sans Dusk Regular" w:cs="Mendl Sans Dusk Regular"/>
                <w:b w:val="0"/>
                <w:color w:val="202723"/>
                <w:sz w:val="17"/>
              </w:rPr>
              <w:t>/testimonials</w:t>
            </w:r>
          </w:p>
        </w:tc>
        <w:tc>
          <w:tcPr>
            <w:tcW w:type="dxa" w:w="3240"/>
            <w:vAlign w:val="center"/>
          </w:tcPr>
          <w:p>
            <w:r/>
            <w:r>
              <w:rPr>
                <w:rFonts w:ascii="Mendl Sans Dusk Regular" w:hAnsi="Mendl Sans Dusk Regular" w:eastAsia="Mendl Sans Dusk Regular" w:cs="Mendl Sans Dusk Regular"/>
                <w:b w:val="0"/>
                <w:color w:val="202723"/>
                <w:sz w:val="17"/>
              </w:rPr>
              <w:t>Trust Reported From the Field.</w:t>
            </w:r>
          </w:p>
        </w:tc>
        <w:tc>
          <w:tcPr>
            <w:tcW w:type="dxa" w:w="5256"/>
            <w:vAlign w:val="center"/>
          </w:tcPr>
          <w:p>
            <w:r/>
            <w:r>
              <w:rPr>
                <w:rFonts w:ascii="Mendl Sans Dusk Regular" w:hAnsi="Mendl Sans Dusk Regular" w:eastAsia="Mendl Sans Dusk Regular" w:cs="Mendl Sans Dusk Regular"/>
                <w:b w:val="0"/>
                <w:color w:val="202723"/>
                <w:sz w:val="17"/>
              </w:rPr>
              <w:t>A commendation belongs to the people who planned the work, solved the problems, and kept the promise when it mattered.</w:t>
            </w:r>
          </w:p>
        </w:tc>
      </w:tr>
      <w:tr>
        <w:tc>
          <w:tcPr>
            <w:tcW w:type="dxa" w:w="2088"/>
            <w:vAlign w:val="center"/>
          </w:tcPr>
          <w:p>
            <w:r/>
            <w:r>
              <w:rPr>
                <w:rFonts w:ascii="Mendl Sans Dusk Regular" w:hAnsi="Mendl Sans Dusk Regular" w:eastAsia="Mendl Sans Dusk Regular" w:cs="Mendl Sans Dusk Regular"/>
                <w:b w:val="0"/>
                <w:color w:val="202723"/>
                <w:sz w:val="17"/>
              </w:rPr>
              <w:t>/veterans</w:t>
            </w:r>
          </w:p>
        </w:tc>
        <w:tc>
          <w:tcPr>
            <w:tcW w:type="dxa" w:w="3240"/>
            <w:vAlign w:val="center"/>
          </w:tcPr>
          <w:p>
            <w:r/>
            <w:r>
              <w:rPr>
                <w:rFonts w:ascii="Mendl Sans Dusk Regular" w:hAnsi="Mendl Sans Dusk Regular" w:eastAsia="Mendl Sans Dusk Regular" w:cs="Mendl Sans Dusk Regular"/>
                <w:b w:val="0"/>
                <w:color w:val="202723"/>
                <w:sz w:val="17"/>
              </w:rPr>
              <w:t>Service Continues Through the Work.</w:t>
            </w:r>
          </w:p>
        </w:tc>
        <w:tc>
          <w:tcPr>
            <w:tcW w:type="dxa" w:w="5256"/>
            <w:vAlign w:val="center"/>
          </w:tcPr>
          <w:p>
            <w:r/>
            <w:r>
              <w:rPr>
                <w:rFonts w:ascii="Mendl Sans Dusk Regular" w:hAnsi="Mendl Sans Dusk Regular" w:eastAsia="Mendl Sans Dusk Regular" w:cs="Mendl Sans Dusk Regular"/>
                <w:b w:val="0"/>
                <w:color w:val="202723"/>
                <w:sz w:val="17"/>
              </w:rPr>
              <w:t>Veteran-owned is not decoration. It means we carry service, preparation, and responsibility into the way we lead and build.</w:t>
            </w:r>
          </w:p>
        </w:tc>
      </w:tr>
      <w:tr>
        <w:tc>
          <w:tcPr>
            <w:tcW w:type="dxa" w:w="2088"/>
            <w:vAlign w:val="center"/>
          </w:tcPr>
          <w:p>
            <w:r/>
            <w:r>
              <w:rPr>
                <w:rFonts w:ascii="Mendl Sans Dusk Regular" w:hAnsi="Mendl Sans Dusk Regular" w:eastAsia="Mendl Sans Dusk Regular" w:cs="Mendl Sans Dusk Regular"/>
                <w:b w:val="0"/>
                <w:color w:val="202723"/>
                <w:sz w:val="17"/>
              </w:rPr>
              <w:t>/veterans/public-sector-construction</w:t>
            </w:r>
          </w:p>
        </w:tc>
        <w:tc>
          <w:tcPr>
            <w:tcW w:type="dxa" w:w="3240"/>
            <w:vAlign w:val="center"/>
          </w:tcPr>
          <w:p>
            <w:r/>
            <w:r>
              <w:rPr>
                <w:rFonts w:ascii="Mendl Sans Dusk Regular" w:hAnsi="Mendl Sans Dusk Regular" w:eastAsia="Mendl Sans Dusk Regular" w:cs="Mendl Sans Dusk Regular"/>
                <w:b w:val="0"/>
                <w:color w:val="202723"/>
                <w:sz w:val="17"/>
              </w:rPr>
              <w:t>Service Experience. Public Mission. Accountable Delivery.</w:t>
            </w:r>
          </w:p>
        </w:tc>
        <w:tc>
          <w:tcPr>
            <w:tcW w:type="dxa" w:w="5256"/>
            <w:vAlign w:val="center"/>
          </w:tcPr>
          <w:p>
            <w:r/>
            <w:r>
              <w:rPr>
                <w:rFonts w:ascii="Mendl Sans Dusk Regular" w:hAnsi="Mendl Sans Dusk Regular" w:eastAsia="Mendl Sans Dusk Regular" w:cs="Mendl Sans Dusk Regular"/>
                <w:b w:val="0"/>
                <w:color w:val="202723"/>
                <w:sz w:val="17"/>
              </w:rPr>
              <w:t>The uniform may be retired, but the duty to prepare, serve, and remain accountable continues in the work we accept.</w:t>
            </w:r>
          </w:p>
        </w:tc>
      </w:tr>
    </w:tbl>
    <w:p>
      <w:pPr>
        <w:pStyle w:val="Heading2"/>
      </w:pPr>
      <w:r>
        <w:t>8.1 Dynamic Route Quote Banks</w:t>
      </w:r>
    </w:p>
    <w:p>
      <w:r>
        <w:t>Dynamic routes must not repeat one quotation across every generated page. Marketing Flight selects a page-specific quotation from the applicable bank, edits it to the actual subject, obtains Jeremy's verbatim approval, and locks the approved route assignment.</w:t>
      </w:r>
    </w:p>
    <w:tbl>
      <w:tblPr>
        <w:tblW w:type="auto" w:w="0"/>
        <w:tblLayout w:type="fixed"/>
        <w:tblLook w:firstColumn="1" w:firstRow="1" w:lastColumn="0" w:lastRow="0" w:noHBand="0" w:noVBand="1" w:val="04A0"/>
      </w:tblPr>
      <w:tblGrid>
        <w:gridCol w:w="4939"/>
        <w:gridCol w:w="4939"/>
      </w:tblGrid>
      <w:tr>
        <w:tc>
          <w:tcPr>
            <w:tcW w:type="dxa" w:w="2592"/>
            <w:vAlign w:val="center"/>
            <w:shd w:fill="386851"/>
          </w:tcPr>
          <w:p>
            <w:r/>
            <w:r>
              <w:rPr>
                <w:rFonts w:ascii="Mendl Sans Dusk Medium" w:hAnsi="Mendl Sans Dusk Medium" w:eastAsia="Mendl Sans Dusk Medium" w:cs="Mendl Sans Dusk Medium"/>
                <w:b/>
                <w:color w:val="FFFFFF"/>
                <w:sz w:val="17"/>
              </w:rPr>
              <w:t>Dynamic Route</w:t>
            </w:r>
          </w:p>
        </w:tc>
        <w:tc>
          <w:tcPr>
            <w:tcW w:type="dxa" w:w="7920"/>
            <w:vAlign w:val="center"/>
            <w:shd w:fill="386851"/>
          </w:tcPr>
          <w:p>
            <w:r/>
            <w:r>
              <w:rPr>
                <w:rFonts w:ascii="Mendl Sans Dusk Medium" w:hAnsi="Mendl Sans Dusk Medium" w:eastAsia="Mendl Sans Dusk Medium" w:cs="Mendl Sans Dusk Medium"/>
                <w:b/>
                <w:color w:val="FFFFFF"/>
                <w:sz w:val="17"/>
              </w:rPr>
              <w:t>Alternate Draft Quote</w:t>
            </w:r>
          </w:p>
        </w:tc>
      </w:tr>
      <w:tr>
        <w:tc>
          <w:tcPr>
            <w:tcW w:type="dxa" w:w="2592"/>
            <w:vAlign w:val="center"/>
          </w:tcPr>
          <w:p>
            <w:r/>
            <w:r>
              <w:rPr>
                <w:rFonts w:ascii="Mendl Sans Dusk Regular" w:hAnsi="Mendl Sans Dusk Regular" w:eastAsia="Mendl Sans Dusk Regular" w:cs="Mendl Sans Dusk Regular"/>
                <w:b w:val="0"/>
                <w:color w:val="202723"/>
                <w:sz w:val="17"/>
              </w:rPr>
              <w:t>/events/:slug</w:t>
            </w:r>
          </w:p>
        </w:tc>
        <w:tc>
          <w:tcPr>
            <w:tcW w:type="dxa" w:w="7920"/>
            <w:vAlign w:val="center"/>
          </w:tcPr>
          <w:p>
            <w:r/>
            <w:r>
              <w:rPr>
                <w:rFonts w:ascii="Mendl Sans Dusk Regular" w:hAnsi="Mendl Sans Dusk Regular" w:eastAsia="Mendl Sans Dusk Regular" w:cs="Mendl Sans Dusk Regular"/>
                <w:b w:val="0"/>
                <w:color w:val="202723"/>
                <w:sz w:val="17"/>
              </w:rPr>
              <w:t>The mission of this event is simple: support the people doing the work and leave the community stronger than we found it.</w:t>
            </w:r>
          </w:p>
        </w:tc>
      </w:tr>
      <w:tr>
        <w:tc>
          <w:tcPr>
            <w:tcW w:type="dxa" w:w="2592"/>
            <w:vAlign w:val="center"/>
          </w:tcPr>
          <w:p>
            <w:r/>
            <w:r>
              <w:rPr>
                <w:rFonts w:ascii="Mendl Sans Dusk Regular" w:hAnsi="Mendl Sans Dusk Regular" w:eastAsia="Mendl Sans Dusk Regular" w:cs="Mendl Sans Dusk Regular"/>
                <w:b w:val="0"/>
                <w:color w:val="202723"/>
                <w:sz w:val="17"/>
              </w:rPr>
              <w:t>/events/:slug</w:t>
            </w:r>
          </w:p>
        </w:tc>
        <w:tc>
          <w:tcPr>
            <w:tcW w:type="dxa" w:w="7920"/>
            <w:vAlign w:val="center"/>
          </w:tcPr>
          <w:p>
            <w:r/>
            <w:r>
              <w:rPr>
                <w:rFonts w:ascii="Mendl Sans Dusk Regular" w:hAnsi="Mendl Sans Dusk Regular" w:eastAsia="Mendl Sans Dusk Regular" w:cs="Mendl Sans Dusk Regular"/>
                <w:b w:val="0"/>
                <w:color w:val="202723"/>
                <w:sz w:val="17"/>
              </w:rPr>
              <w:t>A community event succeeds when preparation, volunteers, sponsors, and purpose stay aligned.</w:t>
            </w:r>
          </w:p>
        </w:tc>
      </w:tr>
      <w:tr>
        <w:tc>
          <w:tcPr>
            <w:tcW w:type="dxa" w:w="2592"/>
            <w:vAlign w:val="center"/>
          </w:tcPr>
          <w:p>
            <w:r/>
            <w:r>
              <w:rPr>
                <w:rFonts w:ascii="Mendl Sans Dusk Regular" w:hAnsi="Mendl Sans Dusk Regular" w:eastAsia="Mendl Sans Dusk Regular" w:cs="Mendl Sans Dusk Regular"/>
                <w:b w:val="0"/>
                <w:color w:val="202723"/>
                <w:sz w:val="17"/>
              </w:rPr>
              <w:t>/events/:slug</w:t>
            </w:r>
          </w:p>
        </w:tc>
        <w:tc>
          <w:tcPr>
            <w:tcW w:type="dxa" w:w="7920"/>
            <w:vAlign w:val="center"/>
          </w:tcPr>
          <w:p>
            <w:r/>
            <w:r>
              <w:rPr>
                <w:rFonts w:ascii="Mendl Sans Dusk Regular" w:hAnsi="Mendl Sans Dusk Regular" w:eastAsia="Mendl Sans Dusk Regular" w:cs="Mendl Sans Dusk Regular"/>
                <w:b w:val="0"/>
                <w:color w:val="202723"/>
                <w:sz w:val="17"/>
              </w:rPr>
              <w:t>We show up to contribute, not just to be seen. The work behind the event is what earns community trust.</w:t>
            </w:r>
          </w:p>
        </w:tc>
      </w:tr>
      <w:tr>
        <w:tc>
          <w:tcPr>
            <w:tcW w:type="dxa" w:w="2592"/>
            <w:vAlign w:val="center"/>
          </w:tcPr>
          <w:p>
            <w:r/>
            <w:r>
              <w:rPr>
                <w:rFonts w:ascii="Mendl Sans Dusk Regular" w:hAnsi="Mendl Sans Dusk Regular" w:eastAsia="Mendl Sans Dusk Regular" w:cs="Mendl Sans Dusk Regular"/>
                <w:b w:val="0"/>
                <w:color w:val="202723"/>
                <w:sz w:val="17"/>
              </w:rPr>
              <w:t>/projects/:slug</w:t>
            </w:r>
          </w:p>
        </w:tc>
        <w:tc>
          <w:tcPr>
            <w:tcW w:type="dxa" w:w="7920"/>
            <w:vAlign w:val="center"/>
          </w:tcPr>
          <w:p>
            <w:r/>
            <w:r>
              <w:rPr>
                <w:rFonts w:ascii="Mendl Sans Dusk Regular" w:hAnsi="Mendl Sans Dusk Regular" w:eastAsia="Mendl Sans Dusk Regular" w:cs="Mendl Sans Dusk Regular"/>
                <w:b w:val="0"/>
                <w:color w:val="202723"/>
                <w:sz w:val="17"/>
              </w:rPr>
              <w:t>This project required the team to understand the constraints early, communicate the changes, and protect the finished result.</w:t>
            </w:r>
          </w:p>
        </w:tc>
      </w:tr>
      <w:tr>
        <w:tc>
          <w:tcPr>
            <w:tcW w:type="dxa" w:w="2592"/>
            <w:vAlign w:val="center"/>
          </w:tcPr>
          <w:p>
            <w:r/>
            <w:r>
              <w:rPr>
                <w:rFonts w:ascii="Mendl Sans Dusk Regular" w:hAnsi="Mendl Sans Dusk Regular" w:eastAsia="Mendl Sans Dusk Regular" w:cs="Mendl Sans Dusk Regular"/>
                <w:b w:val="0"/>
                <w:color w:val="202723"/>
                <w:sz w:val="17"/>
              </w:rPr>
              <w:t>/projects/:slug</w:t>
            </w:r>
          </w:p>
        </w:tc>
        <w:tc>
          <w:tcPr>
            <w:tcW w:type="dxa" w:w="7920"/>
            <w:vAlign w:val="center"/>
          </w:tcPr>
          <w:p>
            <w:r/>
            <w:r>
              <w:rPr>
                <w:rFonts w:ascii="Mendl Sans Dusk Regular" w:hAnsi="Mendl Sans Dusk Regular" w:eastAsia="Mendl Sans Dusk Regular" w:cs="Mendl Sans Dusk Regular"/>
                <w:b w:val="0"/>
                <w:color w:val="202723"/>
                <w:sz w:val="17"/>
              </w:rPr>
              <w:t>The strongest proof of our standard is a completed project with a clear record and a client willing to call us again.</w:t>
            </w:r>
          </w:p>
        </w:tc>
      </w:tr>
      <w:tr>
        <w:tc>
          <w:tcPr>
            <w:tcW w:type="dxa" w:w="2592"/>
            <w:vAlign w:val="center"/>
          </w:tcPr>
          <w:p>
            <w:r/>
            <w:r>
              <w:rPr>
                <w:rFonts w:ascii="Mendl Sans Dusk Regular" w:hAnsi="Mendl Sans Dusk Regular" w:eastAsia="Mendl Sans Dusk Regular" w:cs="Mendl Sans Dusk Regular"/>
                <w:b w:val="0"/>
                <w:color w:val="202723"/>
                <w:sz w:val="17"/>
              </w:rPr>
              <w:t>/projects/:slug</w:t>
            </w:r>
          </w:p>
        </w:tc>
        <w:tc>
          <w:tcPr>
            <w:tcW w:type="dxa" w:w="7920"/>
            <w:vAlign w:val="center"/>
          </w:tcPr>
          <w:p>
            <w:r/>
            <w:r>
              <w:rPr>
                <w:rFonts w:ascii="Mendl Sans Dusk Regular" w:hAnsi="Mendl Sans Dusk Regular" w:eastAsia="Mendl Sans Dusk Regular" w:cs="Mendl Sans Dusk Regular"/>
                <w:b w:val="0"/>
                <w:color w:val="202723"/>
                <w:sz w:val="17"/>
              </w:rPr>
              <w:t>Every project tests the plan. Accountability is how the team adapts without losing control of safety, quality, cost, or schedule.</w:t>
            </w:r>
          </w:p>
        </w:tc>
      </w:tr>
      <w:tr>
        <w:tc>
          <w:tcPr>
            <w:tcW w:type="dxa" w:w="2592"/>
            <w:vAlign w:val="center"/>
          </w:tcPr>
          <w:p>
            <w:r/>
            <w:r>
              <w:rPr>
                <w:rFonts w:ascii="Mendl Sans Dusk Regular" w:hAnsi="Mendl Sans Dusk Regular" w:eastAsia="Mendl Sans Dusk Regular" w:cs="Mendl Sans Dusk Regular"/>
                <w:b w:val="0"/>
                <w:color w:val="202723"/>
                <w:sz w:val="17"/>
              </w:rPr>
              <w:t>/services/:slug</w:t>
            </w:r>
          </w:p>
        </w:tc>
        <w:tc>
          <w:tcPr>
            <w:tcW w:type="dxa" w:w="7920"/>
            <w:vAlign w:val="center"/>
          </w:tcPr>
          <w:p>
            <w:r/>
            <w:r>
              <w:rPr>
                <w:rFonts w:ascii="Mendl Sans Dusk Regular" w:hAnsi="Mendl Sans Dusk Regular" w:eastAsia="Mendl Sans Dusk Regular" w:cs="Mendl Sans Dusk Regular"/>
                <w:b w:val="0"/>
                <w:color w:val="202723"/>
                <w:sz w:val="17"/>
              </w:rPr>
              <w:t>This service depends on clear interfaces, qualified people, and disciplined follow-through at the point of work.</w:t>
            </w:r>
          </w:p>
        </w:tc>
      </w:tr>
      <w:tr>
        <w:tc>
          <w:tcPr>
            <w:tcW w:type="dxa" w:w="2592"/>
            <w:vAlign w:val="center"/>
          </w:tcPr>
          <w:p>
            <w:r/>
            <w:r>
              <w:rPr>
                <w:rFonts w:ascii="Mendl Sans Dusk Regular" w:hAnsi="Mendl Sans Dusk Regular" w:eastAsia="Mendl Sans Dusk Regular" w:cs="Mendl Sans Dusk Regular"/>
                <w:b w:val="0"/>
                <w:color w:val="202723"/>
                <w:sz w:val="17"/>
              </w:rPr>
              <w:t>/services/:slug</w:t>
            </w:r>
          </w:p>
        </w:tc>
        <w:tc>
          <w:tcPr>
            <w:tcW w:type="dxa" w:w="7920"/>
            <w:vAlign w:val="center"/>
          </w:tcPr>
          <w:p>
            <w:r/>
            <w:r>
              <w:rPr>
                <w:rFonts w:ascii="Mendl Sans Dusk Regular" w:hAnsi="Mendl Sans Dusk Regular" w:eastAsia="Mendl Sans Dusk Regular" w:cs="Mendl Sans Dusk Regular"/>
                <w:b w:val="0"/>
                <w:color w:val="202723"/>
                <w:sz w:val="17"/>
              </w:rPr>
              <w:t>Specialty work does not allow specialty excuses. Define the requirement, prepare the team, and verify the result.</w:t>
            </w:r>
          </w:p>
        </w:tc>
      </w:tr>
      <w:tr>
        <w:tc>
          <w:tcPr>
            <w:tcW w:type="dxa" w:w="2592"/>
            <w:vAlign w:val="center"/>
          </w:tcPr>
          <w:p>
            <w:r/>
            <w:r>
              <w:rPr>
                <w:rFonts w:ascii="Mendl Sans Dusk Regular" w:hAnsi="Mendl Sans Dusk Regular" w:eastAsia="Mendl Sans Dusk Regular" w:cs="Mendl Sans Dusk Regular"/>
                <w:b w:val="0"/>
                <w:color w:val="202723"/>
                <w:sz w:val="17"/>
              </w:rPr>
              <w:t>/services/:slug</w:t>
            </w:r>
          </w:p>
        </w:tc>
        <w:tc>
          <w:tcPr>
            <w:tcW w:type="dxa" w:w="7920"/>
            <w:vAlign w:val="center"/>
          </w:tcPr>
          <w:p>
            <w:r/>
            <w:r>
              <w:rPr>
                <w:rFonts w:ascii="Mendl Sans Dusk Regular" w:hAnsi="Mendl Sans Dusk Regular" w:eastAsia="Mendl Sans Dusk Regular" w:cs="Mendl Sans Dusk Regular"/>
                <w:b w:val="0"/>
                <w:color w:val="202723"/>
                <w:sz w:val="17"/>
              </w:rPr>
              <w:t>The more technical the scope, the more important it becomes to keep responsibilities and acceptance criteria visible.</w:t>
            </w:r>
          </w:p>
        </w:tc>
      </w:tr>
      <w:tr>
        <w:tc>
          <w:tcPr>
            <w:tcW w:type="dxa" w:w="2592"/>
            <w:vAlign w:val="center"/>
          </w:tcPr>
          <w:p>
            <w:r/>
            <w:r>
              <w:rPr>
                <w:rFonts w:ascii="Mendl Sans Dusk Regular" w:hAnsi="Mendl Sans Dusk Regular" w:eastAsia="Mendl Sans Dusk Regular" w:cs="Mendl Sans Dusk Regular"/>
                <w:b w:val="0"/>
                <w:color w:val="202723"/>
                <w:sz w:val="17"/>
              </w:rPr>
              <w:t>/locations/:city</w:t>
            </w:r>
          </w:p>
        </w:tc>
        <w:tc>
          <w:tcPr>
            <w:tcW w:type="dxa" w:w="7920"/>
            <w:vAlign w:val="center"/>
          </w:tcPr>
          <w:p>
            <w:r/>
            <w:r>
              <w:rPr>
                <w:rFonts w:ascii="Mendl Sans Dusk Regular" w:hAnsi="Mendl Sans Dusk Regular" w:eastAsia="Mendl Sans Dusk Regular" w:cs="Mendl Sans Dusk Regular"/>
                <w:b w:val="0"/>
                <w:color w:val="202723"/>
                <w:sz w:val="17"/>
              </w:rPr>
              <w:t>Local conditions change, but the obligation to prepare, communicate, and stand behind the work does not.</w:t>
            </w:r>
          </w:p>
        </w:tc>
      </w:tr>
      <w:tr>
        <w:tc>
          <w:tcPr>
            <w:tcW w:type="dxa" w:w="2592"/>
            <w:vAlign w:val="center"/>
          </w:tcPr>
          <w:p>
            <w:r/>
            <w:r>
              <w:rPr>
                <w:rFonts w:ascii="Mendl Sans Dusk Regular" w:hAnsi="Mendl Sans Dusk Regular" w:eastAsia="Mendl Sans Dusk Regular" w:cs="Mendl Sans Dusk Regular"/>
                <w:b w:val="0"/>
                <w:color w:val="202723"/>
                <w:sz w:val="17"/>
              </w:rPr>
              <w:t>/locations/:city</w:t>
            </w:r>
          </w:p>
        </w:tc>
        <w:tc>
          <w:tcPr>
            <w:tcW w:type="dxa" w:w="7920"/>
            <w:vAlign w:val="center"/>
          </w:tcPr>
          <w:p>
            <w:r/>
            <w:r>
              <w:rPr>
                <w:rFonts w:ascii="Mendl Sans Dusk Regular" w:hAnsi="Mendl Sans Dusk Regular" w:eastAsia="Mendl Sans Dusk Regular" w:cs="Mendl Sans Dusk Regular"/>
                <w:b w:val="0"/>
                <w:color w:val="202723"/>
                <w:sz w:val="17"/>
              </w:rPr>
              <w:t>We enter every community ready to listen first, coordinate locally, and deliver to one accountable company standard.</w:t>
            </w:r>
          </w:p>
        </w:tc>
      </w:tr>
      <w:tr>
        <w:tc>
          <w:tcPr>
            <w:tcW w:type="dxa" w:w="2592"/>
            <w:vAlign w:val="center"/>
          </w:tcPr>
          <w:p>
            <w:r/>
            <w:r>
              <w:rPr>
                <w:rFonts w:ascii="Mendl Sans Dusk Regular" w:hAnsi="Mendl Sans Dusk Regular" w:eastAsia="Mendl Sans Dusk Regular" w:cs="Mendl Sans Dusk Regular"/>
                <w:b w:val="0"/>
                <w:color w:val="202723"/>
                <w:sz w:val="17"/>
              </w:rPr>
              <w:t>/locations/:city</w:t>
            </w:r>
          </w:p>
        </w:tc>
        <w:tc>
          <w:tcPr>
            <w:tcW w:type="dxa" w:w="7920"/>
            <w:vAlign w:val="center"/>
          </w:tcPr>
          <w:p>
            <w:r/>
            <w:r>
              <w:rPr>
                <w:rFonts w:ascii="Mendl Sans Dusk Regular" w:hAnsi="Mendl Sans Dusk Regular" w:eastAsia="Mendl Sans Dusk Regular" w:cs="Mendl Sans Dusk Regular"/>
                <w:b w:val="0"/>
                <w:color w:val="202723"/>
                <w:sz w:val="17"/>
              </w:rPr>
              <w:t>Regional coverage only matters when local clients can still reach the people responsible for the work.</w:t>
            </w:r>
          </w:p>
        </w:tc>
      </w:tr>
      <w:tr>
        <w:tc>
          <w:tcPr>
            <w:tcW w:type="dxa" w:w="2592"/>
            <w:vAlign w:val="center"/>
          </w:tcPr>
          <w:p>
            <w:r/>
            <w:r>
              <w:rPr>
                <w:rFonts w:ascii="Mendl Sans Dusk Regular" w:hAnsi="Mendl Sans Dusk Regular" w:eastAsia="Mendl Sans Dusk Regular" w:cs="Mendl Sans Dusk Regular"/>
                <w:b w:val="0"/>
                <w:color w:val="202723"/>
                <w:sz w:val="17"/>
              </w:rPr>
              <w:t>/faq/:category</w:t>
            </w:r>
          </w:p>
        </w:tc>
        <w:tc>
          <w:tcPr>
            <w:tcW w:type="dxa" w:w="7920"/>
            <w:vAlign w:val="center"/>
          </w:tcPr>
          <w:p>
            <w:r/>
            <w:r>
              <w:rPr>
                <w:rFonts w:ascii="Mendl Sans Dusk Regular" w:hAnsi="Mendl Sans Dusk Regular" w:eastAsia="Mendl Sans Dusk Regular" w:cs="Mendl Sans Dusk Regular"/>
                <w:b w:val="0"/>
                <w:color w:val="202723"/>
                <w:sz w:val="17"/>
              </w:rPr>
              <w:t>The right answer should reduce uncertainty and make the next decision clearer.</w:t>
            </w:r>
          </w:p>
        </w:tc>
      </w:tr>
      <w:tr>
        <w:tc>
          <w:tcPr>
            <w:tcW w:type="dxa" w:w="2592"/>
            <w:vAlign w:val="center"/>
          </w:tcPr>
          <w:p>
            <w:r/>
            <w:r>
              <w:rPr>
                <w:rFonts w:ascii="Mendl Sans Dusk Regular" w:hAnsi="Mendl Sans Dusk Regular" w:eastAsia="Mendl Sans Dusk Regular" w:cs="Mendl Sans Dusk Regular"/>
                <w:b w:val="0"/>
                <w:color w:val="202723"/>
                <w:sz w:val="17"/>
              </w:rPr>
              <w:t>/faq/:category</w:t>
            </w:r>
          </w:p>
        </w:tc>
        <w:tc>
          <w:tcPr>
            <w:tcW w:type="dxa" w:w="7920"/>
            <w:vAlign w:val="center"/>
          </w:tcPr>
          <w:p>
            <w:r/>
            <w:r>
              <w:rPr>
                <w:rFonts w:ascii="Mendl Sans Dusk Regular" w:hAnsi="Mendl Sans Dusk Regular" w:eastAsia="Mendl Sans Dusk Regular" w:cs="Mendl Sans Dusk Regular"/>
                <w:b w:val="0"/>
                <w:color w:val="202723"/>
                <w:sz w:val="17"/>
              </w:rPr>
              <w:t>Questions are part of good planning. We would rather resolve an issue early than explain a preventable surprise later.</w:t>
            </w:r>
          </w:p>
        </w:tc>
      </w:tr>
      <w:tr>
        <w:tc>
          <w:tcPr>
            <w:tcW w:type="dxa" w:w="2592"/>
            <w:vAlign w:val="center"/>
          </w:tcPr>
          <w:p>
            <w:r/>
            <w:r>
              <w:rPr>
                <w:rFonts w:ascii="Mendl Sans Dusk Regular" w:hAnsi="Mendl Sans Dusk Regular" w:eastAsia="Mendl Sans Dusk Regular" w:cs="Mendl Sans Dusk Regular"/>
                <w:b w:val="0"/>
                <w:color w:val="202723"/>
                <w:sz w:val="17"/>
              </w:rPr>
              <w:t>/resources/safety-manual/:cluster</w:t>
            </w:r>
          </w:p>
        </w:tc>
        <w:tc>
          <w:tcPr>
            <w:tcW w:type="dxa" w:w="7920"/>
            <w:vAlign w:val="center"/>
          </w:tcPr>
          <w:p>
            <w:r/>
            <w:r>
              <w:rPr>
                <w:rFonts w:ascii="Mendl Sans Dusk Regular" w:hAnsi="Mendl Sans Dusk Regular" w:eastAsia="Mendl Sans Dusk Regular" w:cs="Mendl Sans Dusk Regular"/>
                <w:b w:val="0"/>
                <w:color w:val="202723"/>
                <w:sz w:val="17"/>
              </w:rPr>
              <w:t>Connected hazards require connected controls, clear authority, and one current operating picture.</w:t>
            </w:r>
          </w:p>
        </w:tc>
      </w:tr>
      <w:tr>
        <w:tc>
          <w:tcPr>
            <w:tcW w:type="dxa" w:w="2592"/>
            <w:vAlign w:val="center"/>
          </w:tcPr>
          <w:p>
            <w:r/>
            <w:r>
              <w:rPr>
                <w:rFonts w:ascii="Mendl Sans Dusk Regular" w:hAnsi="Mendl Sans Dusk Regular" w:eastAsia="Mendl Sans Dusk Regular" w:cs="Mendl Sans Dusk Regular"/>
                <w:b w:val="0"/>
                <w:color w:val="202723"/>
                <w:sz w:val="17"/>
              </w:rPr>
              <w:t>/resources/safety-manual/section/:slug</w:t>
            </w:r>
          </w:p>
        </w:tc>
        <w:tc>
          <w:tcPr>
            <w:tcW w:type="dxa" w:w="7920"/>
            <w:vAlign w:val="center"/>
          </w:tcPr>
          <w:p>
            <w:r/>
            <w:r>
              <w:rPr>
                <w:rFonts w:ascii="Mendl Sans Dusk Regular" w:hAnsi="Mendl Sans Dusk Regular" w:eastAsia="Mendl Sans Dusk Regular" w:cs="Mendl Sans Dusk Regular"/>
                <w:b w:val="0"/>
                <w:color w:val="202723"/>
                <w:sz w:val="17"/>
              </w:rPr>
              <w:t>Every safety requirement must identify the person, action, timing, evidence, and stop condition.</w:t>
            </w:r>
          </w:p>
        </w:tc>
      </w:tr>
      <w:tr>
        <w:tc>
          <w:tcPr>
            <w:tcW w:type="dxa" w:w="2592"/>
            <w:vAlign w:val="center"/>
          </w:tcPr>
          <w:p>
            <w:r/>
            <w:r>
              <w:rPr>
                <w:rFonts w:ascii="Mendl Sans Dusk Regular" w:hAnsi="Mendl Sans Dusk Regular" w:eastAsia="Mendl Sans Dusk Regular" w:cs="Mendl Sans Dusk Regular"/>
                <w:b w:val="0"/>
                <w:color w:val="202723"/>
                <w:sz w:val="17"/>
              </w:rPr>
              <w:t>/safety/print/:id</w:t>
            </w:r>
          </w:p>
        </w:tc>
        <w:tc>
          <w:tcPr>
            <w:tcW w:type="dxa" w:w="7920"/>
            <w:vAlign w:val="center"/>
          </w:tcPr>
          <w:p>
            <w:r/>
            <w:r>
              <w:rPr>
                <w:rFonts w:ascii="Mendl Sans Dusk Regular" w:hAnsi="Mendl Sans Dusk Regular" w:eastAsia="Mendl Sans Dusk Regular" w:cs="Mendl Sans Dusk Regular"/>
                <w:b w:val="0"/>
                <w:color w:val="202723"/>
                <w:sz w:val="17"/>
              </w:rPr>
              <w:t>A field copy carries authority only when it matches the current controlled source.</w:t>
            </w:r>
          </w:p>
        </w:tc>
      </w:tr>
    </w:tbl>
    <w:p>
      <w:pPr>
        <w:pStyle w:val="Heading1"/>
      </w:pPr>
      <w:r>
        <w:t>9. Quote Approval Workflow</w:t>
      </w:r>
    </w:p>
    <w:p>
      <w:pPr>
        <w:pStyle w:val="ListNumber"/>
      </w:pPr>
      <w:r>
        <w:t>Marketing drafts page-specific copy from this library.</w:t>
      </w:r>
    </w:p>
    <w:p>
      <w:pPr>
        <w:pStyle w:val="ListNumber"/>
      </w:pPr>
      <w:r>
        <w:t>CHENG verifies brand, page fit, factual accuracy, and reputational risk.</w:t>
      </w:r>
    </w:p>
    <w:p>
      <w:pPr>
        <w:pStyle w:val="ListNumber"/>
      </w:pPr>
      <w:r>
        <w:t>Jeremy Thamert approves the exact quotation and attribution.</w:t>
      </w:r>
    </w:p>
    <w:p>
      <w:pPr>
        <w:pStyle w:val="ListNumber"/>
      </w:pPr>
      <w:r>
        <w:t>Marketing Flight stores approved text, page, version, date, and approval evidence.</w:t>
      </w:r>
    </w:p>
    <w:p>
      <w:pPr>
        <w:pStyle w:val="ListNumber"/>
      </w:pPr>
      <w:r>
        <w:t>IT or the website publisher deploys through the controlled release gate.</w:t>
      </w:r>
    </w:p>
    <w:p>
      <w:pPr>
        <w:pStyle w:val="ListNumber"/>
      </w:pPr>
      <w:r>
        <w:t>CHENG verifies the live page and archive record.</w:t>
      </w:r>
    </w:p>
    <w:p>
      <w:pPr>
        <w:pStyle w:val="ListNumber"/>
      </w:pPr>
      <w:r>
        <w:t>Any wording change requires renewed Jeremy approval.</w:t>
      </w:r>
    </w:p>
    <w:p>
      <w:pPr>
        <w:pStyle w:val="Heading1"/>
      </w:pPr>
      <w:r>
        <w:t>10. Website Findings and Repair Direction</w:t>
      </w:r>
    </w:p>
    <w:p>
      <w:r>
        <w:t>The reviewed site uses a strong Command Center / Operations Brief / Comms Desk structure and already carries the master line Built on Quality, Backed by Trust. Multiple pages currently repeat the same generic Word From the General quotation. Replace repetition with the page matrix above after Jeremy approval. Standardize the heading as 'Word From the General' or 'Words From the General' across all pages; this library recommends the singular 'Word From the General' because each page contains one quotation.</w:t>
      </w:r>
    </w:p>
    <w:p>
      <w:r>
        <w:t>Claims such as safety ratings, project counts, satisfaction, referral rates, certifications, affiliations, veteran status, licenses, and comparative performance require a current evidence record before publication. Brand language must never weaken contractual precision or regulatory meaning.</w:t>
      </w:r>
    </w:p>
    <w:sectPr w:rsidR="00FC693F" w:rsidRPr="0006063C" w:rsidSect="00034616">
      <w:headerReference w:type="default" r:id="rId9"/>
      <w:headerReference w:type="first" r:id="rId10"/>
      <w:footerReference w:type="default" r:id="rId11"/>
      <w:footerReference w:type="first" r:id="rId12"/>
      <w:pgSz w:w="12240" w:h="15840"/>
      <w:pgMar w:top="1123" w:right="1181" w:bottom="1037" w:left="1181"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jc w:val="right"/>
    </w:pPr>
    <w:r>
      <w:rPr>
        <w:rFonts w:ascii="Mendl Sans Dusk Regular" w:hAnsi="Mendl Sans Dusk Regular" w:eastAsia="Mendl Sans Dusk Regular" w:cs="Mendl Sans Dusk Regular"/>
        <w:color w:val="BD9264"/>
        <w:sz w:val="14"/>
      </w:rPr>
      <w:t>Controlled MH Ecosystem | Draft | Page 1</w:t>
    </w:r>
    <w:r>
      <w:rPr>
        <w:rFonts w:ascii="Mendl Sans Dusk Regular" w:hAnsi="Mendl Sans Dusk Regular" w:eastAsia="Mendl Sans Dusk Regular" w:cs="Mendl Sans Dusk Regular"/>
        <w:color w:val="BD9264"/>
        <w:sz w:val="14"/>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endl Sans Dusk Regular" w:hAnsi="Mendl Sans Dusk Regular" w:eastAsia="Mendl Sans Dusk Regular" w:cs="Mendl Sans Dusk Regular"/>
        <w:color w:val="BD9264"/>
        <w:sz w:val="14"/>
      </w:rPr>
      <w:t xml:space="preserve">Controlled MH Ecosystem | Page </w:t>
    </w:r>
    <w:r>
      <w:rPr>
        <w:rFonts w:ascii="Mendl Sans Dusk Regular" w:hAnsi="Mendl Sans Dusk Regular" w:eastAsia="Mendl Sans Dusk Regular" w:cs="Mendl Sans Dusk Regular"/>
        <w:color w:val="BD9264"/>
        <w:sz w:val="1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widowControl/>
      <w:pBdr>
        <w:bottom w:val="single" w:sz="6" w:space="7" w:color="BD9264"/>
      </w:pBdr>
    </w:pPr>
    <w:r>
      <w:rPr>
        <w:rFonts w:ascii="Mendl Sans Dusk Regular" w:hAnsi="Mendl Sans Dusk Regular" w:eastAsia="Mendl Sans Dusk Regular" w:cs="Mendl Sans Dusk Regular"/>
      </w:rPr>
      <w:drawing>
        <wp:inline xmlns:a="http://schemas.openxmlformats.org/drawingml/2006/main" xmlns:pic="http://schemas.openxmlformats.org/drawingml/2006/picture">
          <wp:extent cx="310896" cy="177173"/>
          <wp:docPr id="1" name="Picture 1"/>
          <wp:cNvGraphicFramePr>
            <a:graphicFrameLocks noChangeAspect="1"/>
          </wp:cNvGraphicFramePr>
          <a:graphic>
            <a:graphicData uri="http://schemas.openxmlformats.org/drawingml/2006/picture">
              <pic:pic>
                <pic:nvPicPr>
                  <pic:cNvPr id="0" name="mh-logo-from-bible.png"/>
                  <pic:cNvPicPr/>
                </pic:nvPicPr>
                <pic:blipFill>
                  <a:blip r:embed="rId1"/>
                  <a:stretch>
                    <a:fillRect/>
                  </a:stretch>
                </pic:blipFill>
                <pic:spPr>
                  <a:xfrm>
                    <a:off x="0" y="0"/>
                    <a:ext cx="310896" cy="177173"/>
                  </a:xfrm>
                  <a:prstGeom prst="rect"/>
                </pic:spPr>
              </pic:pic>
            </a:graphicData>
          </a:graphic>
        </wp:inline>
      </w:drawing>
    </w:r>
    <w:r>
      <w:rPr>
        <w:rFonts w:ascii="Mendl Sans Dusk Regular" w:hAnsi="Mendl Sans Dusk Regular" w:eastAsia="Mendl Sans Dusk Regular" w:cs="Mendl Sans Dusk Regular"/>
        <w:b/>
        <w:color w:val="386851"/>
        <w:sz w:val="15"/>
      </w:rPr>
      <w:t xml:space="preserve">  MH CONSTRUCTION | ENTERPRISE MANAGEMENT SYSTEM | MHC-GC.COM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Mendl Sans Dusk Regular" w:hAnsi="Mendl Sans Dusk Regular"/>
      <w:color w:val="2027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Mendl Sans Dusk Bold" w:hAnsi="Mendl Sans Dusk Bold"/>
      <w:b/>
      <w:bCs/>
      <w:color w:val="386851"/>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endl Sans Dusk Medium" w:hAnsi="Mendl Sans Dusk Medium"/>
      <w:b/>
      <w:bCs/>
      <w:color w:val="628F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Mendl Sans Dusk Medium" w:hAnsi="Mendl Sans Dusk Medium"/>
      <w:b/>
      <w:bCs/>
      <w:color w:val="1E392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ascii="Mendl Sans Dusk Bold" w:hAnsi="Mendl Sans Dusk Bold"/>
      <w:b/>
      <w:color w:val="386851"/>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320"/>
    </w:pPr>
    <w:rPr>
      <w:rFonts w:asciiTheme="majorHAnsi" w:eastAsiaTheme="majorEastAsia" w:hAnsiTheme="majorHAnsi" w:cstheme="majorBidi" w:ascii="Mendl Sans Dusk Medium" w:hAnsi="Mendl Sans Dusk Medium"/>
      <w:b/>
      <w:i/>
      <w:iCs/>
      <w:color w:val="628F7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Ramsey</dc:creator>
  <cp:keywords/>
  <dc:description>MH Ecosystem controlled Draft. Final approval authority: Jeremy Thamert.</dc:description>
  <cp:lastModifiedBy>Todd Shoeff</cp:lastModifiedBy>
  <cp:revision>1</cp:revision>
  <dcterms:created xsi:type="dcterms:W3CDTF">2013-12-23T23:15:00Z</dcterms:created>
  <dcterms:modified xsi:type="dcterms:W3CDTF">2013-12-23T23:15:00Z</dcterms:modified>
  <cp:category/>
</cp:coreProperties>
</file>