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78"/>
      </w:tblGrid>
      <w:tr>
        <w:trPr>
          <w:trHeight w:val="12200" w:hRule="atLeast"/>
          <w:tblHeader/>
        </w:trPr>
        <w:tc>
          <w:tcPr>
            <w:tcW w:type="dxa" w:w="9878"/>
            <w:shd w:fill="0F1412"/>
            <w:vAlign w:val="center"/>
          </w:tcPr>
          <w:p>
            <w:pPr>
              <w:spacing w:after="680"/>
              <w:jc w:val="center"/>
            </w:pPr>
            <w:r>
              <w:drawing>
                <wp:inline xmlns:a="http://schemas.openxmlformats.org/drawingml/2006/main" xmlns:pic="http://schemas.openxmlformats.org/drawingml/2006/picture">
                  <wp:extent cx="2148840" cy="1224580"/>
                  <wp:docPr id="1" name="Picture 1" descr="Image: image1.png"/>
                  <wp:cNvGraphicFramePr>
                    <a:graphicFrameLocks noChangeAspect="1"/>
                  </wp:cNvGraphicFramePr>
                  <a:graphic>
                    <a:graphicData uri="http://schemas.openxmlformats.org/drawingml/2006/picture">
                      <pic:pic>
                        <pic:nvPicPr>
                          <pic:cNvPr id="0" name="mh-logo-from-bible.png"/>
                          <pic:cNvPicPr/>
                        </pic:nvPicPr>
                        <pic:blipFill>
                          <a:blip r:embed="rId11"/>
                          <a:stretch>
                            <a:fillRect/>
                          </a:stretch>
                        </pic:blipFill>
                        <pic:spPr>
                          <a:xfrm>
                            <a:off x="0" y="0"/>
                            <a:ext cx="2148840" cy="1224580"/>
                          </a:xfrm>
                          <a:prstGeom prst="rect"/>
                        </pic:spPr>
                      </pic:pic>
                    </a:graphicData>
                  </a:graphic>
                </wp:inline>
              </w:drawing>
            </w:r>
          </w:p>
          <w:p>
            <w:pPr>
              <w:spacing w:after="320"/>
            </w:pPr>
            <w:r>
              <w:rPr>
                <w:rFonts w:ascii="Mendl Sans Dusk Medium" w:hAnsi="Mendl Sans Dusk Medium" w:eastAsia="Mendl Sans Dusk Medium" w:cs="Mendl Sans Dusk Medium"/>
                <w:b/>
                <w:color w:val="BD9264"/>
                <w:sz w:val="18"/>
              </w:rPr>
              <w:t>CONTROLLED MARKETING PROGRAM</w:t>
            </w:r>
          </w:p>
          <w:p>
            <w:pPr>
              <w:spacing w:after="200"/>
            </w:pPr>
            <w:r>
              <w:rPr>
                <w:rFonts w:ascii="Mendl Sans Dusk Bold" w:hAnsi="Mendl Sans Dusk Bold" w:eastAsia="Mendl Sans Dusk Bold" w:cs="Mendl Sans Dusk Bold"/>
                <w:b/>
                <w:color w:val="FFFFFF"/>
                <w:sz w:val="50"/>
              </w:rPr>
              <w:t>Event &amp; Community Outreach Program</w:t>
            </w:r>
          </w:p>
          <w:p>
            <w:pPr>
              <w:spacing w:after="400"/>
            </w:pPr>
            <w:r>
              <w:rPr>
                <w:rFonts w:ascii="Mendl Sans Dusk Medium" w:hAnsi="Mendl Sans Dusk Medium" w:eastAsia="Mendl Sans Dusk Medium" w:cs="Mendl Sans Dusk Medium"/>
                <w:b/>
                <w:color w:val="628F79"/>
                <w:sz w:val="25"/>
              </w:rPr>
              <w:t>Chamber Engagement, Sponsorship, Volunteer and Hosted-Event Control</w:t>
            </w:r>
          </w:p>
          <w:p>
            <w:r>
              <w:rPr>
                <w:rFonts w:ascii="Mendl Sans Dusk Regular" w:hAnsi="Mendl Sans Dusk Regular" w:eastAsia="Mendl Sans Dusk Regular" w:cs="Mendl Sans Dusk Regular"/>
                <w:b w:val="0"/>
                <w:color w:val="FFFFFF"/>
                <w:sz w:val="18"/>
              </w:rPr>
              <w:t>Document ID: MKT-002</w:t>
              <w:br/>
              <w:t>Author and Chief Editor: Matt Ramsey</w:t>
              <w:br/>
              <w:t>Final Approver: Jeremy Thamert, Owner</w:t>
              <w:br/>
              <w:t>Lifecycle: BETA - Draft for Final Approval</w:t>
              <w:br/>
              <w:t>Source schedule: MH Construction 2027 Field Marketing Calendar</w:t>
              <w:br/>
              <w:t>Issue date: August 4, 2026</w:t>
            </w:r>
          </w:p>
          <w:p>
            <w:pPr>
              <w:spacing w:before="320"/>
            </w:pPr>
            <w:r>
              <w:rPr>
                <w:rFonts w:ascii="Mendl Sans Dusk Medium" w:hAnsi="Mendl Sans Dusk Medium" w:eastAsia="Mendl Sans Dusk Medium" w:cs="Mendl Sans Dusk Medium"/>
                <w:b/>
                <w:color w:val="BD9264"/>
                <w:sz w:val="19"/>
              </w:rPr>
              <w:t>Show up. Serve well. Build legitimate relationships. Follow through.</w:t>
            </w:r>
          </w:p>
        </w:tc>
      </w:tr>
    </w:tbl>
    <w:p>
      <w:r>
        <w:br w:type="page"/>
      </w:r>
    </w:p>
    <w:p>
      <w:pPr/>
      <w:r>
        <w:t>Control: Version 1.0 | Status Draft | Author and Chief Editor: Matt Ramsey | Co-Editor: Todd Shoeff | Final Approver: Jeremy Thamert</w:t>
      </w:r>
    </w:p>
    <w:p>
      <w:pPr>
        <w:pStyle w:val="Title"/>
      </w:pPr>
      <w:r>
        <w:t>Document Control</w:t>
      </w:r>
    </w:p>
    <w:tbl>
      <w:tblPr>
        <w:tblW w:type="auto" w:w="0"/>
        <w:tblLayout w:type="fixed"/>
        <w:tblLook w:firstColumn="1" w:firstRow="1" w:lastColumn="0" w:lastRow="0" w:noHBand="0" w:noVBand="1" w:val="04A0"/>
      </w:tblPr>
      <w:tblGrid>
        <w:gridCol w:w="4939"/>
        <w:gridCol w:w="4939"/>
      </w:tblGrid>
      <w:tr>
        <w:trPr>
          <w:tblHeader w:val="true"/>
        </w:trPr>
        <w:tc>
          <w:tcPr>
            <w:tcW w:type="dxa" w:w="4939"/>
            <w:shd w:fill="386851"/>
            <w:vAlign w:val="center"/>
          </w:tcPr>
          <w:p>
            <w:pPr>
              <w:spacing w:after="20"/>
            </w:pPr>
            <w:r/>
            <w:r>
              <w:rPr>
                <w:rFonts w:ascii="Mendl Sans Dusk Medium" w:hAnsi="Mendl Sans Dusk Medium" w:eastAsia="Mendl Sans Dusk Medium" w:cs="Mendl Sans Dusk Medium"/>
                <w:b/>
                <w:color w:val="FFFFFF"/>
                <w:sz w:val="16"/>
              </w:rPr>
              <w:t>Control</w:t>
            </w:r>
          </w:p>
        </w:tc>
        <w:tc>
          <w:tcPr>
            <w:tcW w:type="dxa" w:w="4939"/>
            <w:shd w:fill="386851"/>
            <w:vAlign w:val="center"/>
          </w:tcPr>
          <w:p>
            <w:pPr>
              <w:spacing w:after="20"/>
            </w:pPr>
            <w:r/>
            <w:r>
              <w:rPr>
                <w:rFonts w:ascii="Mendl Sans Dusk Medium" w:hAnsi="Mendl Sans Dusk Medium" w:eastAsia="Mendl Sans Dusk Medium" w:cs="Mendl Sans Dusk Medium"/>
                <w:b/>
                <w:color w:val="FFFFFF"/>
                <w:sz w:val="16"/>
              </w:rPr>
              <w:t>Value</w:t>
            </w:r>
          </w:p>
        </w:tc>
      </w:tr>
      <w:tr>
        <w:tc>
          <w:tcPr>
            <w:tcW w:type="dxa" w:w="2592"/>
            <w:vAlign w:val="center"/>
          </w:tcPr>
          <w:p>
            <w:pPr>
              <w:spacing w:after="20"/>
            </w:pPr>
            <w:r/>
            <w:r>
              <w:rPr>
                <w:rFonts w:ascii="Mendl Sans Dusk Regular" w:hAnsi="Mendl Sans Dusk Regular" w:eastAsia="Mendl Sans Dusk Regular" w:cs="Mendl Sans Dusk Regular"/>
                <w:b w:val="0"/>
                <w:color w:val="202723"/>
                <w:sz w:val="16"/>
              </w:rPr>
              <w:t>Document ID</w:t>
            </w:r>
          </w:p>
        </w:tc>
        <w:tc>
          <w:tcPr>
            <w:tcW w:type="dxa" w:w="7056"/>
            <w:vAlign w:val="center"/>
          </w:tcPr>
          <w:p>
            <w:pPr>
              <w:spacing w:after="20"/>
            </w:pPr>
            <w:r/>
            <w:r>
              <w:rPr>
                <w:rFonts w:ascii="Mendl Sans Dusk Regular" w:hAnsi="Mendl Sans Dusk Regular" w:eastAsia="Mendl Sans Dusk Regular" w:cs="Mendl Sans Dusk Regular"/>
                <w:b w:val="0"/>
                <w:color w:val="202723"/>
                <w:sz w:val="16"/>
              </w:rPr>
              <w:t>MKT-002</w:t>
            </w:r>
          </w:p>
        </w:tc>
      </w:tr>
      <w:tr>
        <w:tc>
          <w:tcPr>
            <w:tcW w:type="dxa" w:w="2592"/>
            <w:shd w:fill="EEF3F0"/>
            <w:vAlign w:val="center"/>
          </w:tcPr>
          <w:p>
            <w:pPr>
              <w:spacing w:after="20"/>
            </w:pPr>
            <w:r/>
            <w:r>
              <w:rPr>
                <w:rFonts w:ascii="Mendl Sans Dusk Regular" w:hAnsi="Mendl Sans Dusk Regular" w:eastAsia="Mendl Sans Dusk Regular" w:cs="Mendl Sans Dusk Regular"/>
                <w:b w:val="0"/>
                <w:color w:val="202723"/>
                <w:sz w:val="16"/>
              </w:rPr>
              <w:t>Canonical filename</w:t>
            </w:r>
          </w:p>
        </w:tc>
        <w:tc>
          <w:tcPr>
            <w:tcW w:type="dxa" w:w="7056"/>
            <w:shd w:fill="EEF3F0"/>
            <w:vAlign w:val="center"/>
          </w:tcPr>
          <w:p>
            <w:pPr>
              <w:spacing w:after="20"/>
            </w:pPr>
            <w:r/>
            <w:r>
              <w:rPr>
                <w:rFonts w:ascii="Mendl Sans Dusk Regular" w:hAnsi="Mendl Sans Dusk Regular" w:eastAsia="Mendl Sans Dusk Regular" w:cs="Mendl Sans Dusk Regular"/>
                <w:b w:val="0"/>
                <w:color w:val="202723"/>
                <w:sz w:val="16"/>
              </w:rPr>
              <w:t>mh-event-and-community-outreach-program</w:t>
            </w:r>
          </w:p>
        </w:tc>
      </w:tr>
      <w:tr>
        <w:tc>
          <w:tcPr>
            <w:tcW w:type="dxa" w:w="2592"/>
            <w:vAlign w:val="center"/>
          </w:tcPr>
          <w:p>
            <w:pPr>
              <w:spacing w:after="20"/>
            </w:pPr>
            <w:r/>
            <w:r>
              <w:rPr>
                <w:rFonts w:ascii="Mendl Sans Dusk Regular" w:hAnsi="Mendl Sans Dusk Regular" w:eastAsia="Mendl Sans Dusk Regular" w:cs="Mendl Sans Dusk Regular"/>
                <w:b w:val="0"/>
                <w:color w:val="202723"/>
                <w:sz w:val="16"/>
              </w:rPr>
              <w:t>Department</w:t>
            </w:r>
          </w:p>
        </w:tc>
        <w:tc>
          <w:tcPr>
            <w:tcW w:type="dxa" w:w="7056"/>
            <w:vAlign w:val="center"/>
          </w:tcPr>
          <w:p>
            <w:pPr>
              <w:spacing w:after="20"/>
            </w:pPr>
            <w:r/>
            <w:r>
              <w:rPr>
                <w:rFonts w:ascii="Mendl Sans Dusk Regular" w:hAnsi="Mendl Sans Dusk Regular" w:eastAsia="Mendl Sans Dusk Regular" w:cs="Mendl Sans Dusk Regular"/>
                <w:b w:val="0"/>
                <w:color w:val="202723"/>
                <w:sz w:val="16"/>
              </w:rPr>
              <w:t>Marketing Department</w:t>
            </w:r>
          </w:p>
        </w:tc>
      </w:tr>
      <w:tr>
        <w:tc>
          <w:tcPr>
            <w:tcW w:type="dxa" w:w="2592"/>
            <w:shd w:fill="EEF3F0"/>
            <w:vAlign w:val="center"/>
          </w:tcPr>
          <w:p>
            <w:pPr>
              <w:spacing w:after="20"/>
            </w:pPr>
            <w:r/>
            <w:r>
              <w:rPr>
                <w:rFonts w:ascii="Mendl Sans Dusk Regular" w:hAnsi="Mendl Sans Dusk Regular" w:eastAsia="Mendl Sans Dusk Regular" w:cs="Mendl Sans Dusk Regular"/>
                <w:b w:val="0"/>
                <w:color w:val="202723"/>
                <w:sz w:val="16"/>
              </w:rPr>
              <w:t>Author / Chief Editor</w:t>
            </w:r>
          </w:p>
        </w:tc>
        <w:tc>
          <w:tcPr>
            <w:tcW w:type="dxa" w:w="7056"/>
            <w:shd w:fill="EEF3F0"/>
            <w:vAlign w:val="center"/>
          </w:tcPr>
          <w:p>
            <w:pPr>
              <w:spacing w:after="20"/>
            </w:pPr>
            <w:r/>
            <w:r>
              <w:rPr>
                <w:rFonts w:ascii="Mendl Sans Dusk Regular" w:hAnsi="Mendl Sans Dusk Regular" w:eastAsia="Mendl Sans Dusk Regular" w:cs="Mendl Sans Dusk Regular"/>
                <w:b w:val="0"/>
                <w:color w:val="202723"/>
                <w:sz w:val="16"/>
              </w:rPr>
              <w:t>Matt Ramsey</w:t>
            </w:r>
          </w:p>
        </w:tc>
      </w:tr>
      <w:tr>
        <w:tc>
          <w:tcPr>
            <w:tcW w:type="dxa" w:w="2592"/>
            <w:vAlign w:val="center"/>
          </w:tcPr>
          <w:p>
            <w:pPr>
              <w:spacing w:after="20"/>
            </w:pPr>
            <w:r/>
            <w:r>
              <w:rPr>
                <w:rFonts w:ascii="Mendl Sans Dusk Regular" w:hAnsi="Mendl Sans Dusk Regular" w:eastAsia="Mendl Sans Dusk Regular" w:cs="Mendl Sans Dusk Regular"/>
                <w:b w:val="0"/>
                <w:color w:val="202723"/>
                <w:sz w:val="16"/>
              </w:rPr>
              <w:t>Final Approver</w:t>
            </w:r>
          </w:p>
        </w:tc>
        <w:tc>
          <w:tcPr>
            <w:tcW w:type="dxa" w:w="7056"/>
            <w:vAlign w:val="center"/>
          </w:tcPr>
          <w:p>
            <w:pPr>
              <w:spacing w:after="20"/>
            </w:pPr>
            <w:r/>
            <w:r>
              <w:rPr>
                <w:rFonts w:ascii="Mendl Sans Dusk Regular" w:hAnsi="Mendl Sans Dusk Regular" w:eastAsia="Mendl Sans Dusk Regular" w:cs="Mendl Sans Dusk Regular"/>
                <w:b w:val="0"/>
                <w:color w:val="202723"/>
                <w:sz w:val="16"/>
              </w:rPr>
              <w:t>Jeremy Thamert, Owner</w:t>
            </w:r>
          </w:p>
        </w:tc>
      </w:tr>
      <w:tr>
        <w:tc>
          <w:tcPr>
            <w:tcW w:type="dxa" w:w="2592"/>
            <w:shd w:fill="EEF3F0"/>
            <w:vAlign w:val="center"/>
          </w:tcPr>
          <w:p>
            <w:pPr>
              <w:spacing w:after="20"/>
            </w:pPr>
            <w:r/>
            <w:r>
              <w:rPr>
                <w:rFonts w:ascii="Mendl Sans Dusk Regular" w:hAnsi="Mendl Sans Dusk Regular" w:eastAsia="Mendl Sans Dusk Regular" w:cs="Mendl Sans Dusk Regular"/>
                <w:b w:val="0"/>
                <w:color w:val="202723"/>
                <w:sz w:val="16"/>
              </w:rPr>
              <w:t>Lifecycle</w:t>
            </w:r>
          </w:p>
        </w:tc>
        <w:tc>
          <w:tcPr>
            <w:tcW w:type="dxa" w:w="7056"/>
            <w:shd w:fill="EEF3F0"/>
            <w:vAlign w:val="center"/>
          </w:tcPr>
          <w:p>
            <w:pPr>
              <w:spacing w:after="20"/>
            </w:pPr>
            <w:r/>
            <w:r>
              <w:rPr>
                <w:rFonts w:ascii="Mendl Sans Dusk Regular" w:hAnsi="Mendl Sans Dusk Regular" w:eastAsia="Mendl Sans Dusk Regular" w:cs="Mendl Sans Dusk Regular"/>
                <w:b w:val="0"/>
                <w:color w:val="202723"/>
                <w:sz w:val="16"/>
              </w:rPr>
              <w:t>BETA - Draft for Final Approval</w:t>
            </w:r>
          </w:p>
        </w:tc>
      </w:tr>
      <w:tr>
        <w:tc>
          <w:tcPr>
            <w:tcW w:type="dxa" w:w="2592"/>
            <w:vAlign w:val="center"/>
          </w:tcPr>
          <w:p>
            <w:pPr>
              <w:spacing w:after="20"/>
            </w:pPr>
            <w:r/>
            <w:r>
              <w:rPr>
                <w:rFonts w:ascii="Mendl Sans Dusk Regular" w:hAnsi="Mendl Sans Dusk Regular" w:eastAsia="Mendl Sans Dusk Regular" w:cs="Mendl Sans Dusk Regular"/>
                <w:b w:val="0"/>
                <w:color w:val="202723"/>
                <w:sz w:val="16"/>
              </w:rPr>
              <w:t>Accountable position</w:t>
            </w:r>
          </w:p>
        </w:tc>
        <w:tc>
          <w:tcPr>
            <w:tcW w:type="dxa" w:w="7056"/>
            <w:vAlign w:val="center"/>
          </w:tcPr>
          <w:p>
            <w:pPr>
              <w:spacing w:after="20"/>
            </w:pPr>
            <w:r/>
            <w:r>
              <w:rPr>
                <w:rFonts w:ascii="Mendl Sans Dusk Regular" w:hAnsi="Mendl Sans Dusk Regular" w:eastAsia="Mendl Sans Dusk Regular" w:cs="Mendl Sans Dusk Regular"/>
                <w:b w:val="0"/>
                <w:color w:val="202723"/>
                <w:sz w:val="16"/>
              </w:rPr>
              <w:t>CHNAV / Business Development Command</w:t>
            </w:r>
          </w:p>
        </w:tc>
      </w:tr>
      <w:tr>
        <w:tc>
          <w:tcPr>
            <w:tcW w:type="dxa" w:w="2592"/>
            <w:shd w:fill="EEF3F0"/>
            <w:vAlign w:val="center"/>
          </w:tcPr>
          <w:p>
            <w:pPr>
              <w:spacing w:after="20"/>
            </w:pPr>
            <w:r/>
            <w:r>
              <w:rPr>
                <w:rFonts w:ascii="Mendl Sans Dusk Regular" w:hAnsi="Mendl Sans Dusk Regular" w:eastAsia="Mendl Sans Dusk Regular" w:cs="Mendl Sans Dusk Regular"/>
                <w:b w:val="0"/>
                <w:color w:val="202723"/>
                <w:sz w:val="16"/>
              </w:rPr>
              <w:t>Responsible position</w:t>
            </w:r>
          </w:p>
        </w:tc>
        <w:tc>
          <w:tcPr>
            <w:tcW w:type="dxa" w:w="7056"/>
            <w:shd w:fill="EEF3F0"/>
            <w:vAlign w:val="center"/>
          </w:tcPr>
          <w:p>
            <w:pPr>
              <w:spacing w:after="20"/>
            </w:pPr>
            <w:r/>
            <w:r>
              <w:rPr>
                <w:rFonts w:ascii="Mendl Sans Dusk Regular" w:hAnsi="Mendl Sans Dusk Regular" w:eastAsia="Mendl Sans Dusk Regular" w:cs="Mendl Sans Dusk Regular"/>
                <w:b w:val="0"/>
                <w:color w:val="202723"/>
                <w:sz w:val="16"/>
              </w:rPr>
              <w:t>Marketing Lead</w:t>
            </w:r>
          </w:p>
        </w:tc>
      </w:tr>
      <w:tr>
        <w:tc>
          <w:tcPr>
            <w:tcW w:type="dxa" w:w="2592"/>
            <w:vAlign w:val="center"/>
          </w:tcPr>
          <w:p>
            <w:pPr>
              <w:spacing w:after="20"/>
            </w:pPr>
            <w:r/>
            <w:r>
              <w:rPr>
                <w:rFonts w:ascii="Mendl Sans Dusk Regular" w:hAnsi="Mendl Sans Dusk Regular" w:eastAsia="Mendl Sans Dusk Regular" w:cs="Mendl Sans Dusk Regular"/>
                <w:b w:val="0"/>
                <w:color w:val="202723"/>
                <w:sz w:val="16"/>
              </w:rPr>
              <w:t>System of action</w:t>
            </w:r>
          </w:p>
        </w:tc>
        <w:tc>
          <w:tcPr>
            <w:tcW w:type="dxa" w:w="7056"/>
            <w:vAlign w:val="center"/>
          </w:tcPr>
          <w:p>
            <w:pPr>
              <w:spacing w:after="20"/>
            </w:pPr>
            <w:r/>
            <w:r>
              <w:rPr>
                <w:rFonts w:ascii="Mendl Sans Dusk Regular" w:hAnsi="Mendl Sans Dusk Regular" w:eastAsia="Mendl Sans Dusk Regular" w:cs="Mendl Sans Dusk Regular"/>
                <w:b w:val="0"/>
                <w:color w:val="202723"/>
                <w:sz w:val="16"/>
              </w:rPr>
              <w:t>Marketing Flight</w:t>
            </w:r>
          </w:p>
        </w:tc>
      </w:tr>
      <w:tr>
        <w:tc>
          <w:tcPr>
            <w:tcW w:type="dxa" w:w="2592"/>
            <w:shd w:fill="EEF3F0"/>
            <w:vAlign w:val="center"/>
          </w:tcPr>
          <w:p>
            <w:pPr>
              <w:spacing w:after="20"/>
            </w:pPr>
            <w:r/>
            <w:r>
              <w:rPr>
                <w:rFonts w:ascii="Mendl Sans Dusk Regular" w:hAnsi="Mendl Sans Dusk Regular" w:eastAsia="Mendl Sans Dusk Regular" w:cs="Mendl Sans Dusk Regular"/>
                <w:b w:val="0"/>
                <w:color w:val="202723"/>
                <w:sz w:val="16"/>
              </w:rPr>
              <w:t>Authoritative final archive</w:t>
            </w:r>
          </w:p>
        </w:tc>
        <w:tc>
          <w:tcPr>
            <w:tcW w:type="dxa" w:w="7056"/>
            <w:shd w:fill="EEF3F0"/>
            <w:vAlign w:val="center"/>
          </w:tcPr>
          <w:p>
            <w:pPr>
              <w:spacing w:after="20"/>
            </w:pPr>
            <w:r/>
            <w:r>
              <w:rPr>
                <w:rFonts w:ascii="Mendl Sans Dusk Regular" w:hAnsi="Mendl Sans Dusk Regular" w:eastAsia="Mendl Sans Dusk Regular" w:cs="Mendl Sans Dusk Regular"/>
                <w:b w:val="0"/>
                <w:color w:val="202723"/>
                <w:sz w:val="16"/>
              </w:rPr>
              <w:t>Dedicated in-house server</w:t>
            </w:r>
          </w:p>
        </w:tc>
      </w:tr>
      <w:tr>
        <w:tc>
          <w:tcPr>
            <w:tcW w:type="dxa" w:w="2592"/>
            <w:vAlign w:val="center"/>
          </w:tcPr>
          <w:p>
            <w:pPr>
              <w:spacing w:after="20"/>
            </w:pPr>
            <w:r/>
            <w:r>
              <w:rPr>
                <w:rFonts w:ascii="Mendl Sans Dusk Regular" w:hAnsi="Mendl Sans Dusk Regular" w:eastAsia="Mendl Sans Dusk Regular" w:cs="Mendl Sans Dusk Regular"/>
                <w:b w:val="0"/>
                <w:color w:val="202723"/>
                <w:sz w:val="16"/>
              </w:rPr>
              <w:t>Source planning register</w:t>
            </w:r>
          </w:p>
        </w:tc>
        <w:tc>
          <w:tcPr>
            <w:tcW w:type="dxa" w:w="7056"/>
            <w:vAlign w:val="center"/>
          </w:tcPr>
          <w:p>
            <w:pPr>
              <w:spacing w:after="20"/>
            </w:pPr>
            <w:r/>
            <w:r>
              <w:rPr>
                <w:rFonts w:ascii="Mendl Sans Dusk Regular" w:hAnsi="Mendl Sans Dusk Regular" w:eastAsia="Mendl Sans Dusk Regular" w:cs="Mendl Sans Dusk Regular"/>
                <w:b w:val="0"/>
                <w:color w:val="202723"/>
                <w:sz w:val="16"/>
              </w:rPr>
              <w:t>MH Construction 2027 Field Marketing Calendar</w:t>
            </w:r>
          </w:p>
        </w:tc>
      </w:tr>
      <w:tr>
        <w:tc>
          <w:tcPr>
            <w:tcW w:type="dxa" w:w="2592"/>
            <w:shd w:fill="EEF3F0"/>
            <w:vAlign w:val="center"/>
          </w:tcPr>
          <w:p>
            <w:pPr>
              <w:spacing w:after="20"/>
            </w:pPr>
            <w:r/>
            <w:r>
              <w:rPr>
                <w:rFonts w:ascii="Mendl Sans Dusk Regular" w:hAnsi="Mendl Sans Dusk Regular" w:eastAsia="Mendl Sans Dusk Regular" w:cs="Mendl Sans Dusk Regular"/>
                <w:b w:val="0"/>
                <w:color w:val="202723"/>
                <w:sz w:val="16"/>
              </w:rPr>
              <w:t>Review cadence</w:t>
            </w:r>
          </w:p>
        </w:tc>
        <w:tc>
          <w:tcPr>
            <w:tcW w:type="dxa" w:w="7056"/>
            <w:shd w:fill="EEF3F0"/>
            <w:vAlign w:val="center"/>
          </w:tcPr>
          <w:p>
            <w:pPr>
              <w:spacing w:after="20"/>
            </w:pPr>
            <w:r/>
            <w:r>
              <w:rPr>
                <w:rFonts w:ascii="Mendl Sans Dusk Regular" w:hAnsi="Mendl Sans Dusk Regular" w:eastAsia="Mendl Sans Dusk Regular" w:cs="Mendl Sans Dusk Regular"/>
                <w:b w:val="0"/>
                <w:color w:val="202723"/>
                <w:sz w:val="16"/>
              </w:rPr>
              <w:t>Monthly during 2027 beta; formal AAR after Q2 and year-end</w:t>
            </w:r>
          </w:p>
        </w:tc>
      </w:tr>
    </w:tbl>
    <w:p/>
    <w:p>
      <w:pPr>
        <w:pStyle w:val="Heading1"/>
      </w:pPr>
      <w:r>
        <w:t>1. Command Intent</w:t>
      </w:r>
    </w:p>
    <w:p>
      <w:r>
        <w:t>MHC will build durable, legitimate local relationships by consistently attending, sponsoring, volunteering at and hosting selected chamber, industry and community events. The program converts event presence into service, trust, market intelligence, qualified relationships and accountable follow-through. It is a BETA operating program and may scale, contract or change after measured reviews.</w:t>
      </w:r>
    </w:p>
    <w:p>
      <w:pPr>
        <w:pStyle w:val="Heading2"/>
      </w:pPr>
      <w:r>
        <w:t>Ethical engagement rule</w:t>
      </w:r>
    </w:p>
    <w:p>
      <w:r>
        <w:t>“Infiltrate” is treated only as internal campaign shorthand for sustained, transparent participation. MHC personnel must identify their affiliation, follow organizer rules, avoid deceptive access, improper influence, quid pro quo, concealed political activity and misuse of confidential information. Chamber leadership or committee service must benefit the organization and community, not create a hidden purchasing advantage.</w:t>
      </w:r>
    </w:p>
    <w:p>
      <w:pPr>
        <w:pStyle w:val="Heading1"/>
      </w:pPr>
      <w:r>
        <w:t>2. Scope and Objectives</w:t>
      </w:r>
    </w:p>
    <w:p>
      <w:pPr>
        <w:pStyle w:val="ListBullet"/>
        <w:spacing w:after="60"/>
      </w:pPr>
      <w:r>
        <w:t>Create a deliberate presence in selected Chambers of Commerce and civic networks.</w:t>
      </w:r>
    </w:p>
    <w:p>
      <w:pPr>
        <w:pStyle w:val="ListBullet"/>
        <w:spacing w:after="60"/>
      </w:pPr>
      <w:r>
        <w:t>Earn trust by contributing time, expertise, sponsorship and hosted value.</w:t>
      </w:r>
    </w:p>
    <w:p>
      <w:pPr>
        <w:pStyle w:val="ListBullet"/>
        <w:spacing w:after="60"/>
      </w:pPr>
      <w:r>
        <w:t>Build relationships with Client Partners, Trade Partners, public agencies, workforce partners, veterans and community leaders.</w:t>
      </w:r>
    </w:p>
    <w:p>
      <w:pPr>
        <w:pStyle w:val="ListBullet"/>
        <w:spacing w:after="60"/>
      </w:pPr>
      <w:r>
        <w:t>Capture event-generated contacts and opportunities in Marketing Flight.</w:t>
      </w:r>
    </w:p>
    <w:p>
      <w:pPr>
        <w:pStyle w:val="ListBullet"/>
        <w:spacing w:after="60"/>
      </w:pPr>
      <w:r>
        <w:t>Create approved public content that supports the MH veteran-owned and community-service brand.</w:t>
      </w:r>
    </w:p>
    <w:p>
      <w:pPr>
        <w:pStyle w:val="ListBullet"/>
        <w:spacing w:after="60"/>
      </w:pPr>
      <w:r>
        <w:t>Develop a repeatable annual portfolio that can scale without overloading operations or diluting follow-through.</w:t>
      </w:r>
    </w:p>
    <w:p>
      <w:pPr>
        <w:pStyle w:val="Heading1"/>
      </w:pPr>
      <w:r>
        <w:t>3. Authority and Role Matrix</w:t>
      </w:r>
    </w:p>
    <w:tbl>
      <w:tblPr>
        <w:tblW w:type="auto" w:w="0"/>
        <w:tblLayout w:type="fixed"/>
        <w:tblLook w:firstColumn="1" w:firstRow="1" w:lastColumn="0" w:lastRow="0" w:noHBand="0" w:noVBand="1" w:val="04A0"/>
      </w:tblPr>
      <w:tblGrid>
        <w:gridCol w:w="4939"/>
        <w:gridCol w:w="4939"/>
      </w:tblGrid>
      <w:tr>
        <w:trPr>
          <w:tblHeader w:val="true"/>
        </w:trPr>
        <w:tc>
          <w:tcPr>
            <w:tcW w:type="dxa" w:w="4939"/>
            <w:shd w:fill="386851"/>
            <w:vAlign w:val="center"/>
          </w:tcPr>
          <w:p>
            <w:pPr>
              <w:spacing w:after="20"/>
            </w:pPr>
            <w:r/>
            <w:r>
              <w:rPr>
                <w:rFonts w:ascii="Mendl Sans Dusk Medium" w:hAnsi="Mendl Sans Dusk Medium" w:eastAsia="Mendl Sans Dusk Medium" w:cs="Mendl Sans Dusk Medium"/>
                <w:b/>
                <w:color w:val="FFFFFF"/>
                <w:sz w:val="16"/>
              </w:rPr>
              <w:t>Position</w:t>
            </w:r>
          </w:p>
        </w:tc>
        <w:tc>
          <w:tcPr>
            <w:tcW w:type="dxa" w:w="4939"/>
            <w:shd w:fill="386851"/>
            <w:vAlign w:val="center"/>
          </w:tcPr>
          <w:p>
            <w:pPr>
              <w:spacing w:after="20"/>
            </w:pPr>
            <w:r/>
            <w:r>
              <w:rPr>
                <w:rFonts w:ascii="Mendl Sans Dusk Medium" w:hAnsi="Mendl Sans Dusk Medium" w:eastAsia="Mendl Sans Dusk Medium" w:cs="Mendl Sans Dusk Medium"/>
                <w:b/>
                <w:color w:val="FFFFFF"/>
                <w:sz w:val="16"/>
              </w:rPr>
              <w:t>Program responsibility</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Owner / Final Approver</w:t>
            </w:r>
          </w:p>
        </w:tc>
        <w:tc>
          <w:tcPr>
            <w:tcW w:type="dxa" w:w="6768"/>
            <w:vAlign w:val="center"/>
          </w:tcPr>
          <w:p>
            <w:pPr>
              <w:spacing w:after="20"/>
            </w:pPr>
            <w:r/>
            <w:r>
              <w:rPr>
                <w:rFonts w:ascii="Mendl Sans Dusk Regular" w:hAnsi="Mendl Sans Dusk Regular" w:eastAsia="Mendl Sans Dusk Regular" w:cs="Mendl Sans Dusk Regular"/>
                <w:b w:val="0"/>
                <w:color w:val="202723"/>
                <w:sz w:val="16"/>
              </w:rPr>
              <w:t>Final approval for program, annual plan, hosted events and controlled publications.</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Upper Brass</w:t>
            </w:r>
          </w:p>
        </w:tc>
        <w:tc>
          <w:tcPr>
            <w:tcW w:type="dxa" w:w="6768"/>
            <w:shd w:fill="EEF3F0"/>
            <w:vAlign w:val="center"/>
          </w:tcPr>
          <w:p>
            <w:pPr>
              <w:spacing w:after="20"/>
            </w:pPr>
            <w:r/>
            <w:r>
              <w:rPr>
                <w:rFonts w:ascii="Mendl Sans Dusk Regular" w:hAnsi="Mendl Sans Dusk Regular" w:eastAsia="Mendl Sans Dusk Regular" w:cs="Mendl Sans Dusk Regular"/>
                <w:b w:val="0"/>
                <w:color w:val="202723"/>
                <w:sz w:val="16"/>
              </w:rPr>
              <w:t>Controlled roster: CEO, COO, CHENG, CHNAV and Owners. Members serve as chamber relationship owners and Event Sponsors.</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CHNAV / Business Development Command</w:t>
            </w:r>
          </w:p>
        </w:tc>
        <w:tc>
          <w:tcPr>
            <w:tcW w:type="dxa" w:w="6768"/>
            <w:vAlign w:val="center"/>
          </w:tcPr>
          <w:p>
            <w:pPr>
              <w:spacing w:after="20"/>
            </w:pPr>
            <w:r/>
            <w:r>
              <w:rPr>
                <w:rFonts w:ascii="Mendl Sans Dusk Regular" w:hAnsi="Mendl Sans Dusk Regular" w:eastAsia="Mendl Sans Dusk Regular" w:cs="Mendl Sans Dusk Regular"/>
                <w:b w:val="0"/>
                <w:color w:val="202723"/>
                <w:sz w:val="16"/>
              </w:rPr>
              <w:t>Accountable position for outreach strategy, chamber relationship plan, opportunity handoff and portfolio value.</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Marketing Lead</w:t>
            </w:r>
          </w:p>
        </w:tc>
        <w:tc>
          <w:tcPr>
            <w:tcW w:type="dxa" w:w="6768"/>
            <w:shd w:fill="EEF3F0"/>
            <w:vAlign w:val="center"/>
          </w:tcPr>
          <w:p>
            <w:pPr>
              <w:spacing w:after="20"/>
            </w:pPr>
            <w:r/>
            <w:r>
              <w:rPr>
                <w:rFonts w:ascii="Mendl Sans Dusk Regular" w:hAnsi="Mendl Sans Dusk Regular" w:eastAsia="Mendl Sans Dusk Regular" w:cs="Mendl Sans Dusk Regular"/>
                <w:b w:val="0"/>
                <w:color w:val="202723"/>
                <w:sz w:val="16"/>
              </w:rPr>
              <w:t>Responsible for calendar, event research, Marketing Flight records, briefs, content, follow-up and reporting.</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Upper Brass Event Sponsor</w:t>
            </w:r>
          </w:p>
        </w:tc>
        <w:tc>
          <w:tcPr>
            <w:tcW w:type="dxa" w:w="6768"/>
            <w:vAlign w:val="center"/>
          </w:tcPr>
          <w:p>
            <w:pPr>
              <w:spacing w:after="20"/>
            </w:pPr>
            <w:r/>
            <w:r>
              <w:rPr>
                <w:rFonts w:ascii="Mendl Sans Dusk Regular" w:hAnsi="Mendl Sans Dusk Regular" w:eastAsia="Mendl Sans Dusk Regular" w:cs="Mendl Sans Dusk Regular"/>
                <w:b w:val="0"/>
                <w:color w:val="202723"/>
                <w:sz w:val="16"/>
              </w:rPr>
              <w:t>Assigned executive position who represents MHC, owns priority relationships and completes required follow-up.</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Chief Editor</w:t>
            </w:r>
          </w:p>
        </w:tc>
        <w:tc>
          <w:tcPr>
            <w:tcW w:type="dxa" w:w="6768"/>
            <w:shd w:fill="EEF3F0"/>
            <w:vAlign w:val="center"/>
          </w:tcPr>
          <w:p>
            <w:pPr>
              <w:spacing w:after="20"/>
            </w:pPr>
            <w:r/>
            <w:r>
              <w:rPr>
                <w:rFonts w:ascii="Mendl Sans Dusk Regular" w:hAnsi="Mendl Sans Dusk Regular" w:eastAsia="Mendl Sans Dusk Regular" w:cs="Mendl Sans Dusk Regular"/>
                <w:b w:val="0"/>
                <w:color w:val="202723"/>
                <w:sz w:val="16"/>
              </w:rPr>
              <w:t>Controls program architecture, terminology, brand alignment and document integrity.</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IT Specialist</w:t>
            </w:r>
          </w:p>
        </w:tc>
        <w:tc>
          <w:tcPr>
            <w:tcW w:type="dxa" w:w="6768"/>
            <w:vAlign w:val="center"/>
          </w:tcPr>
          <w:p>
            <w:pPr>
              <w:spacing w:after="20"/>
            </w:pPr>
            <w:r/>
            <w:r>
              <w:rPr>
                <w:rFonts w:ascii="Mendl Sans Dusk Regular" w:hAnsi="Mendl Sans Dusk Regular" w:eastAsia="Mendl Sans Dusk Regular" w:cs="Mendl Sans Dusk Regular"/>
                <w:b w:val="0"/>
                <w:color w:val="202723"/>
                <w:sz w:val="16"/>
              </w:rPr>
              <w:t>Controls Marketing Flight access, server archive, integrations, backup and recovery.</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CFO / Financial Lead</w:t>
            </w:r>
          </w:p>
        </w:tc>
        <w:tc>
          <w:tcPr>
            <w:tcW w:type="dxa" w:w="6768"/>
            <w:shd w:fill="EEF3F0"/>
            <w:vAlign w:val="center"/>
          </w:tcPr>
          <w:p>
            <w:pPr>
              <w:spacing w:after="20"/>
            </w:pPr>
            <w:r/>
            <w:r>
              <w:rPr>
                <w:rFonts w:ascii="Mendl Sans Dusk Regular" w:hAnsi="Mendl Sans Dusk Regular" w:eastAsia="Mendl Sans Dusk Regular" w:cs="Mendl Sans Dusk Regular"/>
                <w:b w:val="0"/>
                <w:color w:val="202723"/>
                <w:sz w:val="16"/>
              </w:rPr>
              <w:t>Controls budget coding, commitments, reconciliation, tax documentation and financial records.</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Safety and Systems Command</w:t>
            </w:r>
          </w:p>
        </w:tc>
        <w:tc>
          <w:tcPr>
            <w:tcW w:type="dxa" w:w="6768"/>
            <w:vAlign w:val="center"/>
          </w:tcPr>
          <w:p>
            <w:pPr>
              <w:spacing w:after="20"/>
            </w:pPr>
            <w:r/>
            <w:r>
              <w:rPr>
                <w:rFonts w:ascii="Mendl Sans Dusk Regular" w:hAnsi="Mendl Sans Dusk Regular" w:eastAsia="Mendl Sans Dusk Regular" w:cs="Mendl Sans Dusk Regular"/>
                <w:b w:val="0"/>
                <w:color w:val="202723"/>
                <w:sz w:val="16"/>
              </w:rPr>
              <w:t>Reviews volunteer, booth, vehicle, equipment, food, alcohol and public-event safety requirements.</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Project Manager / Superintendent</w:t>
            </w:r>
          </w:p>
        </w:tc>
        <w:tc>
          <w:tcPr>
            <w:tcW w:type="dxa" w:w="6768"/>
            <w:shd w:fill="EEF3F0"/>
            <w:vAlign w:val="center"/>
          </w:tcPr>
          <w:p>
            <w:pPr>
              <w:spacing w:after="20"/>
            </w:pPr>
            <w:r/>
            <w:r>
              <w:rPr>
                <w:rFonts w:ascii="Mendl Sans Dusk Regular" w:hAnsi="Mendl Sans Dusk Regular" w:eastAsia="Mendl Sans Dusk Regular" w:cs="Mendl Sans Dusk Regular"/>
                <w:b w:val="0"/>
                <w:color w:val="202723"/>
                <w:sz w:val="16"/>
              </w:rPr>
              <w:t>Verifies project facts, staffing impacts and client/site permissions when event content involves a project.</w:t>
            </w:r>
          </w:p>
        </w:tc>
      </w:tr>
    </w:tbl>
    <w:p/>
    <w:p>
      <w:r>
        <w:t>Upper Brass is the controlled position grouping of CEO, COO, CHENG, CHNAV and Owners. Each activated event receives a primary Event Sponsor and backup. The annual calendar allocates attendance so executive participation remains deliberate and does not interfere with project delivery.</w:t>
      </w:r>
    </w:p>
    <w:p>
      <w:pPr>
        <w:pStyle w:val="Heading2"/>
      </w:pPr>
      <w:r>
        <w:t>3.1 Target Chamber Campaign</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Priority</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Target</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2027 command objective</w:t>
            </w:r>
          </w:p>
        </w:tc>
      </w:tr>
      <w:tr>
        <w:tc>
          <w:tcPr>
            <w:tcW w:type="dxa" w:w="792"/>
            <w:vAlign w:val="center"/>
          </w:tcPr>
          <w:p>
            <w:pPr>
              <w:spacing w:after="20"/>
            </w:pPr>
            <w:r/>
            <w:r>
              <w:rPr>
                <w:rFonts w:ascii="Mendl Sans Dusk Regular" w:hAnsi="Mendl Sans Dusk Regular" w:eastAsia="Mendl Sans Dusk Regular" w:cs="Mendl Sans Dusk Regular"/>
                <w:b w:val="0"/>
                <w:color w:val="202723"/>
                <w:sz w:val="16"/>
              </w:rPr>
              <w:t>1</w:t>
            </w:r>
          </w:p>
        </w:tc>
        <w:tc>
          <w:tcPr>
            <w:tcW w:type="dxa" w:w="2520"/>
            <w:vAlign w:val="center"/>
          </w:tcPr>
          <w:p>
            <w:pPr>
              <w:spacing w:after="20"/>
            </w:pPr>
            <w:r/>
            <w:r>
              <w:rPr>
                <w:rFonts w:ascii="Mendl Sans Dusk Regular" w:hAnsi="Mendl Sans Dusk Regular" w:eastAsia="Mendl Sans Dusk Regular" w:cs="Mendl Sans Dusk Regular"/>
                <w:b w:val="0"/>
                <w:color w:val="202723"/>
                <w:sz w:val="16"/>
              </w:rPr>
              <w:t>Tri-City Regional Chamber</w:t>
            </w:r>
          </w:p>
        </w:tc>
        <w:tc>
          <w:tcPr>
            <w:tcW w:type="dxa" w:w="6336"/>
            <w:vAlign w:val="center"/>
          </w:tcPr>
          <w:p>
            <w:pPr>
              <w:spacing w:after="20"/>
            </w:pPr>
            <w:r/>
            <w:r>
              <w:rPr>
                <w:rFonts w:ascii="Mendl Sans Dusk Regular" w:hAnsi="Mendl Sans Dusk Regular" w:eastAsia="Mendl Sans Dusk Regular" w:cs="Mendl Sans Dusk Regular"/>
                <w:b w:val="0"/>
                <w:color w:val="202723"/>
                <w:sz w:val="16"/>
              </w:rPr>
              <w:t>Prestige objective and long-range priority. Build consistent access, earn committee responsibility and prepare for future board eligibility without forcing the timeline.</w:t>
            </w:r>
          </w:p>
        </w:tc>
      </w:tr>
      <w:tr>
        <w:tc>
          <w:tcPr>
            <w:tcW w:type="dxa" w:w="792"/>
            <w:shd w:fill="EEF3F0"/>
            <w:vAlign w:val="center"/>
          </w:tcPr>
          <w:p>
            <w:pPr>
              <w:spacing w:after="20"/>
            </w:pPr>
            <w:r/>
            <w:r>
              <w:rPr>
                <w:rFonts w:ascii="Mendl Sans Dusk Regular" w:hAnsi="Mendl Sans Dusk Regular" w:eastAsia="Mendl Sans Dusk Regular" w:cs="Mendl Sans Dusk Regular"/>
                <w:b w:val="0"/>
                <w:color w:val="202723"/>
                <w:sz w:val="16"/>
              </w:rPr>
              <w:t>2</w:t>
            </w:r>
          </w:p>
        </w:tc>
        <w:tc>
          <w:tcPr>
            <w:tcW w:type="dxa" w:w="2520"/>
            <w:shd w:fill="EEF3F0"/>
            <w:vAlign w:val="center"/>
          </w:tcPr>
          <w:p>
            <w:pPr>
              <w:spacing w:after="20"/>
            </w:pPr>
            <w:r/>
            <w:r>
              <w:rPr>
                <w:rFonts w:ascii="Mendl Sans Dusk Regular" w:hAnsi="Mendl Sans Dusk Regular" w:eastAsia="Mendl Sans Dusk Regular" w:cs="Mendl Sans Dusk Regular"/>
                <w:b w:val="0"/>
                <w:color w:val="202723"/>
                <w:sz w:val="16"/>
              </w:rPr>
              <w:t>Richland Chamber</w:t>
            </w:r>
          </w:p>
        </w:tc>
        <w:tc>
          <w:tcPr>
            <w:tcW w:type="dxa" w:w="6336"/>
            <w:shd w:fill="EEF3F0"/>
            <w:vAlign w:val="center"/>
          </w:tcPr>
          <w:p>
            <w:pPr>
              <w:spacing w:after="20"/>
            </w:pPr>
            <w:r/>
            <w:r>
              <w:rPr>
                <w:rFonts w:ascii="Mendl Sans Dusk Regular" w:hAnsi="Mendl Sans Dusk Regular" w:eastAsia="Mendl Sans Dusk Regular" w:cs="Mendl Sans Dusk Regular"/>
                <w:b w:val="0"/>
                <w:color w:val="202723"/>
                <w:sz w:val="16"/>
              </w:rPr>
              <w:t>Active penetration objective. Maintain Cool Desert Nights Committee performance and secure an MHC board seat when the Chamber completes its process.</w:t>
            </w:r>
          </w:p>
        </w:tc>
      </w:tr>
      <w:tr>
        <w:tc>
          <w:tcPr>
            <w:tcW w:type="dxa" w:w="792"/>
            <w:vAlign w:val="center"/>
          </w:tcPr>
          <w:p>
            <w:pPr>
              <w:spacing w:after="20"/>
            </w:pPr>
            <w:r/>
            <w:r>
              <w:rPr>
                <w:rFonts w:ascii="Mendl Sans Dusk Regular" w:hAnsi="Mendl Sans Dusk Regular" w:eastAsia="Mendl Sans Dusk Regular" w:cs="Mendl Sans Dusk Regular"/>
                <w:b w:val="0"/>
                <w:color w:val="202723"/>
                <w:sz w:val="16"/>
              </w:rPr>
              <w:t>3</w:t>
            </w:r>
          </w:p>
        </w:tc>
        <w:tc>
          <w:tcPr>
            <w:tcW w:type="dxa" w:w="2520"/>
            <w:vAlign w:val="center"/>
          </w:tcPr>
          <w:p>
            <w:pPr>
              <w:spacing w:after="20"/>
            </w:pPr>
            <w:r/>
            <w:r>
              <w:rPr>
                <w:rFonts w:ascii="Mendl Sans Dusk Regular" w:hAnsi="Mendl Sans Dusk Regular" w:eastAsia="Mendl Sans Dusk Regular" w:cs="Mendl Sans Dusk Regular"/>
                <w:b w:val="0"/>
                <w:color w:val="202723"/>
                <w:sz w:val="16"/>
              </w:rPr>
              <w:t>Pasco Chamber</w:t>
            </w:r>
          </w:p>
        </w:tc>
        <w:tc>
          <w:tcPr>
            <w:tcW w:type="dxa" w:w="6336"/>
            <w:vAlign w:val="center"/>
          </w:tcPr>
          <w:p>
            <w:pPr>
              <w:spacing w:after="20"/>
            </w:pPr>
            <w:r/>
            <w:r>
              <w:rPr>
                <w:rFonts w:ascii="Mendl Sans Dusk Regular" w:hAnsi="Mendl Sans Dusk Regular" w:eastAsia="Mendl Sans Dusk Regular" w:cs="Mendl Sans Dusk Regular"/>
                <w:b w:val="0"/>
                <w:color w:val="202723"/>
                <w:sz w:val="16"/>
              </w:rPr>
              <w:t>Agriculture objective. Use only the supplied calendar events and approved Chamber relationships to establish credible agriculture-sector access.</w:t>
            </w:r>
          </w:p>
        </w:tc>
      </w:tr>
      <w:tr>
        <w:tc>
          <w:tcPr>
            <w:tcW w:type="dxa" w:w="792"/>
            <w:shd w:fill="EEF3F0"/>
            <w:vAlign w:val="center"/>
          </w:tcPr>
          <w:p>
            <w:pPr>
              <w:spacing w:after="20"/>
            </w:pPr>
            <w:r/>
            <w:r>
              <w:rPr>
                <w:rFonts w:ascii="Mendl Sans Dusk Regular" w:hAnsi="Mendl Sans Dusk Regular" w:eastAsia="Mendl Sans Dusk Regular" w:cs="Mendl Sans Dusk Regular"/>
                <w:b w:val="0"/>
                <w:color w:val="202723"/>
                <w:sz w:val="16"/>
              </w:rPr>
              <w:t>4</w:t>
            </w:r>
          </w:p>
        </w:tc>
        <w:tc>
          <w:tcPr>
            <w:tcW w:type="dxa" w:w="2520"/>
            <w:shd w:fill="EEF3F0"/>
            <w:vAlign w:val="center"/>
          </w:tcPr>
          <w:p>
            <w:pPr>
              <w:spacing w:after="20"/>
            </w:pPr>
            <w:r/>
            <w:r>
              <w:rPr>
                <w:rFonts w:ascii="Mendl Sans Dusk Regular" w:hAnsi="Mendl Sans Dusk Regular" w:eastAsia="Mendl Sans Dusk Regular" w:cs="Mendl Sans Dusk Regular"/>
                <w:b w:val="0"/>
                <w:color w:val="202723"/>
                <w:sz w:val="16"/>
              </w:rPr>
              <w:t>West Richland Area Chamber</w:t>
            </w:r>
          </w:p>
        </w:tc>
        <w:tc>
          <w:tcPr>
            <w:tcW w:type="dxa" w:w="6336"/>
            <w:shd w:fill="EEF3F0"/>
            <w:vAlign w:val="center"/>
          </w:tcPr>
          <w:p>
            <w:pPr>
              <w:spacing w:after="20"/>
            </w:pPr>
            <w:r/>
            <w:r>
              <w:rPr>
                <w:rFonts w:ascii="Mendl Sans Dusk Regular" w:hAnsi="Mendl Sans Dusk Regular" w:eastAsia="Mendl Sans Dusk Regular" w:cs="Mendl Sans Dusk Regular"/>
                <w:b w:val="0"/>
                <w:color w:val="202723"/>
                <w:sz w:val="16"/>
              </w:rPr>
              <w:t>Veteran objective. Sponsor, volunteer and participate through the selected Veterans Day Parade schedule entry.</w:t>
            </w:r>
          </w:p>
        </w:tc>
      </w:tr>
      <w:tr>
        <w:tc>
          <w:tcPr>
            <w:tcW w:type="dxa" w:w="792"/>
            <w:vAlign w:val="center"/>
          </w:tcPr>
          <w:p>
            <w:pPr>
              <w:spacing w:after="20"/>
            </w:pPr>
            <w:r/>
            <w:r>
              <w:rPr>
                <w:rFonts w:ascii="Mendl Sans Dusk Regular" w:hAnsi="Mendl Sans Dusk Regular" w:eastAsia="Mendl Sans Dusk Regular" w:cs="Mendl Sans Dusk Regular"/>
                <w:b w:val="0"/>
                <w:color w:val="202723"/>
                <w:sz w:val="16"/>
              </w:rPr>
              <w:t>5</w:t>
            </w:r>
          </w:p>
        </w:tc>
        <w:tc>
          <w:tcPr>
            <w:tcW w:type="dxa" w:w="2520"/>
            <w:vAlign w:val="center"/>
          </w:tcPr>
          <w:p>
            <w:pPr>
              <w:spacing w:after="20"/>
            </w:pPr>
            <w:r/>
            <w:r>
              <w:rPr>
                <w:rFonts w:ascii="Mendl Sans Dusk Regular" w:hAnsi="Mendl Sans Dusk Regular" w:eastAsia="Mendl Sans Dusk Regular" w:cs="Mendl Sans Dusk Regular"/>
                <w:b w:val="0"/>
                <w:color w:val="202723"/>
                <w:sz w:val="16"/>
              </w:rPr>
              <w:t>Tri-Cities Hispanic Chamber / Hispanic Heritage network</w:t>
            </w:r>
          </w:p>
        </w:tc>
        <w:tc>
          <w:tcPr>
            <w:tcW w:type="dxa" w:w="6336"/>
            <w:vAlign w:val="center"/>
          </w:tcPr>
          <w:p>
            <w:pPr>
              <w:spacing w:after="20"/>
            </w:pPr>
            <w:r/>
            <w:r>
              <w:rPr>
                <w:rFonts w:ascii="Mendl Sans Dusk Regular" w:hAnsi="Mendl Sans Dusk Regular" w:eastAsia="Mendl Sans Dusk Regular" w:cs="Mendl Sans Dusk Regular"/>
                <w:b w:val="0"/>
                <w:color w:val="202723"/>
                <w:sz w:val="16"/>
              </w:rPr>
              <w:t>Relationship-development objective. Begin with listening and service through the supplied schedule; do not add or substitute events without discussion.</w:t>
            </w:r>
          </w:p>
        </w:tc>
      </w:tr>
    </w:tbl>
    <w:p/>
    <w:p>
      <w:pPr>
        <w:pStyle w:val="Heading1"/>
      </w:pPr>
      <w:r>
        <w:t>4. Engagement Lanes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Lane</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Purpose</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Control</w:t>
            </w:r>
          </w:p>
        </w:tc>
      </w:tr>
      <w:tr>
        <w:tc>
          <w:tcPr>
            <w:tcW w:type="dxa" w:w="1152"/>
            <w:vAlign w:val="center"/>
          </w:tcPr>
          <w:p>
            <w:pPr>
              <w:spacing w:after="20"/>
            </w:pPr>
            <w:r/>
            <w:r>
              <w:rPr>
                <w:rFonts w:ascii="Mendl Sans Dusk Regular" w:hAnsi="Mendl Sans Dusk Regular" w:eastAsia="Mendl Sans Dusk Regular" w:cs="Mendl Sans Dusk Regular"/>
                <w:b w:val="0"/>
                <w:color w:val="202723"/>
                <w:sz w:val="16"/>
              </w:rPr>
              <w:t>Attend</w:t>
            </w:r>
          </w:p>
        </w:tc>
        <w:tc>
          <w:tcPr>
            <w:tcW w:type="dxa" w:w="3240"/>
            <w:vAlign w:val="center"/>
          </w:tcPr>
          <w:p>
            <w:pPr>
              <w:spacing w:after="20"/>
            </w:pPr>
            <w:r/>
            <w:r>
              <w:rPr>
                <w:rFonts w:ascii="Mendl Sans Dusk Regular" w:hAnsi="Mendl Sans Dusk Regular" w:eastAsia="Mendl Sans Dusk Regular" w:cs="Mendl Sans Dusk Regular"/>
                <w:b w:val="0"/>
                <w:color w:val="202723"/>
                <w:sz w:val="16"/>
              </w:rPr>
              <w:t>Observe, learn, build legitimate relationships and record opportunities.</w:t>
            </w:r>
          </w:p>
        </w:tc>
        <w:tc>
          <w:tcPr>
            <w:tcW w:type="dxa" w:w="5256"/>
            <w:vAlign w:val="center"/>
          </w:tcPr>
          <w:p>
            <w:pPr>
              <w:spacing w:after="20"/>
            </w:pPr>
            <w:r/>
            <w:r>
              <w:rPr>
                <w:rFonts w:ascii="Mendl Sans Dusk Regular" w:hAnsi="Mendl Sans Dusk Regular" w:eastAsia="Mendl Sans Dusk Regular" w:cs="Mendl Sans Dusk Regular"/>
                <w:b w:val="0"/>
                <w:color w:val="202723"/>
                <w:sz w:val="16"/>
              </w:rPr>
              <w:t>No passive attendance without an assigned objective, contact target and follow-up owner.</w:t>
            </w:r>
          </w:p>
        </w:tc>
      </w:tr>
      <w:tr>
        <w:tc>
          <w:tcPr>
            <w:tcW w:type="dxa" w:w="1152"/>
            <w:shd w:fill="EEF3F0"/>
            <w:vAlign w:val="center"/>
          </w:tcPr>
          <w:p>
            <w:pPr>
              <w:spacing w:after="20"/>
            </w:pPr>
            <w:r/>
            <w:r>
              <w:rPr>
                <w:rFonts w:ascii="Mendl Sans Dusk Regular" w:hAnsi="Mendl Sans Dusk Regular" w:eastAsia="Mendl Sans Dusk Regular" w:cs="Mendl Sans Dusk Regular"/>
                <w:b w:val="0"/>
                <w:color w:val="202723"/>
                <w:sz w:val="16"/>
              </w:rPr>
              <w:t>Sponsor</w:t>
            </w:r>
          </w:p>
        </w:tc>
        <w:tc>
          <w:tcPr>
            <w:tcW w:type="dxa" w:w="3240"/>
            <w:shd w:fill="EEF3F0"/>
            <w:vAlign w:val="center"/>
          </w:tcPr>
          <w:p>
            <w:pPr>
              <w:spacing w:after="20"/>
            </w:pPr>
            <w:r/>
            <w:r>
              <w:rPr>
                <w:rFonts w:ascii="Mendl Sans Dusk Regular" w:hAnsi="Mendl Sans Dusk Regular" w:eastAsia="Mendl Sans Dusk Regular" w:cs="Mendl Sans Dusk Regular"/>
                <w:b w:val="0"/>
                <w:color w:val="202723"/>
                <w:sz w:val="16"/>
              </w:rPr>
              <w:t>Exchange approved value for defined visibility, access or community benefit.</w:t>
            </w:r>
          </w:p>
        </w:tc>
        <w:tc>
          <w:tcPr>
            <w:tcW w:type="dxa" w:w="5256"/>
            <w:shd w:fill="EEF3F0"/>
            <w:vAlign w:val="center"/>
          </w:tcPr>
          <w:p>
            <w:pPr>
              <w:spacing w:after="20"/>
            </w:pPr>
            <w:r/>
            <w:r>
              <w:rPr>
                <w:rFonts w:ascii="Mendl Sans Dusk Regular" w:hAnsi="Mendl Sans Dusk Regular" w:eastAsia="Mendl Sans Dusk Regular" w:cs="Mendl Sans Dusk Regular"/>
                <w:b w:val="0"/>
                <w:color w:val="202723"/>
                <w:sz w:val="16"/>
              </w:rPr>
              <w:t>Require written benefits, cost, audience, conflicts check, approval and fulfillment evidence.</w:t>
            </w:r>
          </w:p>
        </w:tc>
      </w:tr>
      <w:tr>
        <w:tc>
          <w:tcPr>
            <w:tcW w:type="dxa" w:w="1152"/>
            <w:vAlign w:val="center"/>
          </w:tcPr>
          <w:p>
            <w:pPr>
              <w:spacing w:after="20"/>
            </w:pPr>
            <w:r/>
            <w:r>
              <w:rPr>
                <w:rFonts w:ascii="Mendl Sans Dusk Regular" w:hAnsi="Mendl Sans Dusk Regular" w:eastAsia="Mendl Sans Dusk Regular" w:cs="Mendl Sans Dusk Regular"/>
                <w:b w:val="0"/>
                <w:color w:val="202723"/>
                <w:sz w:val="16"/>
              </w:rPr>
              <w:t>Volunteer</w:t>
            </w:r>
          </w:p>
        </w:tc>
        <w:tc>
          <w:tcPr>
            <w:tcW w:type="dxa" w:w="3240"/>
            <w:vAlign w:val="center"/>
          </w:tcPr>
          <w:p>
            <w:pPr>
              <w:spacing w:after="20"/>
            </w:pPr>
            <w:r/>
            <w:r>
              <w:rPr>
                <w:rFonts w:ascii="Mendl Sans Dusk Regular" w:hAnsi="Mendl Sans Dusk Regular" w:eastAsia="Mendl Sans Dusk Regular" w:cs="Mendl Sans Dusk Regular"/>
                <w:b w:val="0"/>
                <w:color w:val="202723"/>
                <w:sz w:val="16"/>
              </w:rPr>
              <w:t>Provide labor, expertise or service that benefits the organizer and community.</w:t>
            </w:r>
          </w:p>
        </w:tc>
        <w:tc>
          <w:tcPr>
            <w:tcW w:type="dxa" w:w="5256"/>
            <w:vAlign w:val="center"/>
          </w:tcPr>
          <w:p>
            <w:pPr>
              <w:spacing w:after="20"/>
            </w:pPr>
            <w:r/>
            <w:r>
              <w:rPr>
                <w:rFonts w:ascii="Mendl Sans Dusk Regular" w:hAnsi="Mendl Sans Dusk Regular" w:eastAsia="Mendl Sans Dusk Regular" w:cs="Mendl Sans Dusk Regular"/>
                <w:b w:val="0"/>
                <w:color w:val="202723"/>
                <w:sz w:val="16"/>
              </w:rPr>
              <w:t>Require scope, supervision, safety, insurance, youth/vulnerable-person and media review.</w:t>
            </w:r>
          </w:p>
        </w:tc>
      </w:tr>
      <w:tr>
        <w:tc>
          <w:tcPr>
            <w:tcW w:type="dxa" w:w="1152"/>
            <w:shd w:fill="EEF3F0"/>
            <w:vAlign w:val="center"/>
          </w:tcPr>
          <w:p>
            <w:pPr>
              <w:spacing w:after="20"/>
            </w:pPr>
            <w:r/>
            <w:r>
              <w:rPr>
                <w:rFonts w:ascii="Mendl Sans Dusk Regular" w:hAnsi="Mendl Sans Dusk Regular" w:eastAsia="Mendl Sans Dusk Regular" w:cs="Mendl Sans Dusk Regular"/>
                <w:b w:val="0"/>
                <w:color w:val="202723"/>
                <w:sz w:val="16"/>
              </w:rPr>
              <w:t>Host</w:t>
            </w:r>
          </w:p>
        </w:tc>
        <w:tc>
          <w:tcPr>
            <w:tcW w:type="dxa" w:w="3240"/>
            <w:shd w:fill="EEF3F0"/>
            <w:vAlign w:val="center"/>
          </w:tcPr>
          <w:p>
            <w:pPr>
              <w:spacing w:after="20"/>
            </w:pPr>
            <w:r/>
            <w:r>
              <w:rPr>
                <w:rFonts w:ascii="Mendl Sans Dusk Regular" w:hAnsi="Mendl Sans Dusk Regular" w:eastAsia="Mendl Sans Dusk Regular" w:cs="Mendl Sans Dusk Regular"/>
                <w:b w:val="0"/>
                <w:color w:val="202723"/>
                <w:sz w:val="16"/>
              </w:rPr>
              <w:t>Create an MHC-controlled forum such as a briefing, roundtable, open house, service day or veteran/community event.</w:t>
            </w:r>
          </w:p>
        </w:tc>
        <w:tc>
          <w:tcPr>
            <w:tcW w:type="dxa" w:w="5256"/>
            <w:shd w:fill="EEF3F0"/>
            <w:vAlign w:val="center"/>
          </w:tcPr>
          <w:p>
            <w:pPr>
              <w:spacing w:after="20"/>
            </w:pPr>
            <w:r/>
            <w:r>
              <w:rPr>
                <w:rFonts w:ascii="Mendl Sans Dusk Regular" w:hAnsi="Mendl Sans Dusk Regular" w:eastAsia="Mendl Sans Dusk Regular" w:cs="Mendl Sans Dusk Regular"/>
                <w:b w:val="0"/>
                <w:color w:val="202723"/>
                <w:sz w:val="16"/>
              </w:rPr>
              <w:t>Require charter, budget, venue, permits, safety plan, guest controls, content plan and closeout.</w:t>
            </w:r>
          </w:p>
        </w:tc>
      </w:tr>
    </w:tbl>
    <w:p/>
    <w:p>
      <w:pPr>
        <w:pStyle w:val="Heading1"/>
      </w:pPr>
      <w:r>
        <w:t>5. Research Library and Operating Calendar</w:t>
      </w:r>
    </w:p>
    <w:p>
      <w:r>
        <w:t>The 100-event workbook remains the research library and evidence source. The executable 2027 calendar is condensed to 30 activations, normally two per month with three during selected strategic months. The operating calendar stays inside the Tri-Cities whenever practical and uses limited major-event exceptions. No research-library event is presented as an operating commitment unless it appears in the approved condensed calendar.</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Criterion</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Weight</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Decision test</w:t>
            </w:r>
          </w:p>
        </w:tc>
      </w:tr>
      <w:tr>
        <w:tc>
          <w:tcPr>
            <w:tcW w:type="dxa" w:w="2160"/>
            <w:vAlign w:val="center"/>
          </w:tcPr>
          <w:p>
            <w:pPr>
              <w:spacing w:after="20"/>
            </w:pPr>
            <w:r/>
            <w:r>
              <w:rPr>
                <w:rFonts w:ascii="Mendl Sans Dusk Regular" w:hAnsi="Mendl Sans Dusk Regular" w:eastAsia="Mendl Sans Dusk Regular" w:cs="Mendl Sans Dusk Regular"/>
                <w:b w:val="0"/>
                <w:color w:val="202723"/>
                <w:sz w:val="16"/>
              </w:rPr>
              <w:t>Strategic alignment</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20</w:t>
            </w:r>
          </w:p>
        </w:tc>
        <w:tc>
          <w:tcPr>
            <w:tcW w:type="dxa" w:w="6552"/>
            <w:vAlign w:val="center"/>
          </w:tcPr>
          <w:p>
            <w:pPr>
              <w:spacing w:after="20"/>
            </w:pPr>
            <w:r/>
            <w:r>
              <w:rPr>
                <w:rFonts w:ascii="Mendl Sans Dusk Regular" w:hAnsi="Mendl Sans Dusk Regular" w:eastAsia="Mendl Sans Dusk Regular" w:cs="Mendl Sans Dusk Regular"/>
                <w:b w:val="0"/>
                <w:color w:val="202723"/>
                <w:sz w:val="16"/>
              </w:rPr>
              <w:t>Supports chambers, construction, workforce, veterans, Client Partners or target markets.</w:t>
            </w:r>
          </w:p>
        </w:tc>
      </w:tr>
      <w:tr>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Relationship value</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20</w:t>
            </w:r>
          </w:p>
        </w:tc>
        <w:tc>
          <w:tcPr>
            <w:tcW w:type="dxa" w:w="6552"/>
            <w:shd w:fill="EEF3F0"/>
            <w:vAlign w:val="center"/>
          </w:tcPr>
          <w:p>
            <w:pPr>
              <w:spacing w:after="20"/>
            </w:pPr>
            <w:r/>
            <w:r>
              <w:rPr>
                <w:rFonts w:ascii="Mendl Sans Dusk Regular" w:hAnsi="Mendl Sans Dusk Regular" w:eastAsia="Mendl Sans Dusk Regular" w:cs="Mendl Sans Dusk Regular"/>
                <w:b w:val="0"/>
                <w:color w:val="202723"/>
                <w:sz w:val="16"/>
              </w:rPr>
              <w:t>Creates legitimate access to decision-makers, partners or community leaders.</w:t>
            </w:r>
          </w:p>
        </w:tc>
      </w:tr>
      <w:tr>
        <w:tc>
          <w:tcPr>
            <w:tcW w:type="dxa" w:w="2160"/>
            <w:vAlign w:val="center"/>
          </w:tcPr>
          <w:p>
            <w:pPr>
              <w:spacing w:after="20"/>
            </w:pPr>
            <w:r/>
            <w:r>
              <w:rPr>
                <w:rFonts w:ascii="Mendl Sans Dusk Regular" w:hAnsi="Mendl Sans Dusk Regular" w:eastAsia="Mendl Sans Dusk Regular" w:cs="Mendl Sans Dusk Regular"/>
                <w:b w:val="0"/>
                <w:color w:val="202723"/>
                <w:sz w:val="16"/>
              </w:rPr>
              <w:t>Audience fit</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15</w:t>
            </w:r>
          </w:p>
        </w:tc>
        <w:tc>
          <w:tcPr>
            <w:tcW w:type="dxa" w:w="6552"/>
            <w:vAlign w:val="center"/>
          </w:tcPr>
          <w:p>
            <w:pPr>
              <w:spacing w:after="20"/>
            </w:pPr>
            <w:r/>
            <w:r>
              <w:rPr>
                <w:rFonts w:ascii="Mendl Sans Dusk Regular" w:hAnsi="Mendl Sans Dusk Regular" w:eastAsia="Mendl Sans Dusk Regular" w:cs="Mendl Sans Dusk Regular"/>
                <w:b w:val="0"/>
                <w:color w:val="202723"/>
                <w:sz w:val="16"/>
              </w:rPr>
              <w:t>Attendees match approved client, workforce, trade, public or referral segments.</w:t>
            </w:r>
          </w:p>
        </w:tc>
      </w:tr>
      <w:tr>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Community value</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15</w:t>
            </w:r>
          </w:p>
        </w:tc>
        <w:tc>
          <w:tcPr>
            <w:tcW w:type="dxa" w:w="6552"/>
            <w:shd w:fill="EEF3F0"/>
            <w:vAlign w:val="center"/>
          </w:tcPr>
          <w:p>
            <w:pPr>
              <w:spacing w:after="20"/>
            </w:pPr>
            <w:r/>
            <w:r>
              <w:rPr>
                <w:rFonts w:ascii="Mendl Sans Dusk Regular" w:hAnsi="Mendl Sans Dusk Regular" w:eastAsia="Mendl Sans Dusk Regular" w:cs="Mendl Sans Dusk Regular"/>
                <w:b w:val="0"/>
                <w:color w:val="202723"/>
                <w:sz w:val="16"/>
              </w:rPr>
              <w:t>Produces a defined public, charitable, workforce or economic-development benefit.</w:t>
            </w:r>
          </w:p>
        </w:tc>
      </w:tr>
      <w:tr>
        <w:tc>
          <w:tcPr>
            <w:tcW w:type="dxa" w:w="2160"/>
            <w:vAlign w:val="center"/>
          </w:tcPr>
          <w:p>
            <w:pPr>
              <w:spacing w:after="20"/>
            </w:pPr>
            <w:r/>
            <w:r>
              <w:rPr>
                <w:rFonts w:ascii="Mendl Sans Dusk Regular" w:hAnsi="Mendl Sans Dusk Regular" w:eastAsia="Mendl Sans Dusk Regular" w:cs="Mendl Sans Dusk Regular"/>
                <w:b w:val="0"/>
                <w:color w:val="202723"/>
                <w:sz w:val="16"/>
              </w:rPr>
              <w:t>Activation quality</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10</w:t>
            </w:r>
          </w:p>
        </w:tc>
        <w:tc>
          <w:tcPr>
            <w:tcW w:type="dxa" w:w="6552"/>
            <w:vAlign w:val="center"/>
          </w:tcPr>
          <w:p>
            <w:pPr>
              <w:spacing w:after="20"/>
            </w:pPr>
            <w:r/>
            <w:r>
              <w:rPr>
                <w:rFonts w:ascii="Mendl Sans Dusk Regular" w:hAnsi="Mendl Sans Dusk Regular" w:eastAsia="Mendl Sans Dusk Regular" w:cs="Mendl Sans Dusk Regular"/>
                <w:b w:val="0"/>
                <w:color w:val="202723"/>
                <w:sz w:val="16"/>
              </w:rPr>
              <w:t>MHC can attend, sponsor, volunteer or host with a clear mission and deliverable.</w:t>
            </w:r>
          </w:p>
        </w:tc>
      </w:tr>
      <w:tr>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Timing and capacity</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10</w:t>
            </w:r>
          </w:p>
        </w:tc>
        <w:tc>
          <w:tcPr>
            <w:tcW w:type="dxa" w:w="6552"/>
            <w:shd w:fill="EEF3F0"/>
            <w:vAlign w:val="center"/>
          </w:tcPr>
          <w:p>
            <w:pPr>
              <w:spacing w:after="20"/>
            </w:pPr>
            <w:r/>
            <w:r>
              <w:rPr>
                <w:rFonts w:ascii="Mendl Sans Dusk Regular" w:hAnsi="Mendl Sans Dusk Regular" w:eastAsia="Mendl Sans Dusk Regular" w:cs="Mendl Sans Dusk Regular"/>
                <w:b w:val="0"/>
                <w:color w:val="202723"/>
                <w:sz w:val="16"/>
              </w:rPr>
              <w:t>Staffing, travel, project workload and lead time are workable.</w:t>
            </w:r>
          </w:p>
        </w:tc>
      </w:tr>
      <w:tr>
        <w:tc>
          <w:tcPr>
            <w:tcW w:type="dxa" w:w="2160"/>
            <w:vAlign w:val="center"/>
          </w:tcPr>
          <w:p>
            <w:pPr>
              <w:spacing w:after="20"/>
            </w:pPr>
            <w:r/>
            <w:r>
              <w:rPr>
                <w:rFonts w:ascii="Mendl Sans Dusk Regular" w:hAnsi="Mendl Sans Dusk Regular" w:eastAsia="Mendl Sans Dusk Regular" w:cs="Mendl Sans Dusk Regular"/>
                <w:b w:val="0"/>
                <w:color w:val="202723"/>
                <w:sz w:val="16"/>
              </w:rPr>
              <w:t>Cost and measurable value</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5</w:t>
            </w:r>
          </w:p>
        </w:tc>
        <w:tc>
          <w:tcPr>
            <w:tcW w:type="dxa" w:w="6552"/>
            <w:vAlign w:val="center"/>
          </w:tcPr>
          <w:p>
            <w:pPr>
              <w:spacing w:after="20"/>
            </w:pPr>
            <w:r/>
            <w:r>
              <w:rPr>
                <w:rFonts w:ascii="Mendl Sans Dusk Regular" w:hAnsi="Mendl Sans Dusk Regular" w:eastAsia="Mendl Sans Dusk Regular" w:cs="Mendl Sans Dusk Regular"/>
                <w:b w:val="0"/>
                <w:color w:val="202723"/>
                <w:sz w:val="16"/>
              </w:rPr>
              <w:t>Cost is known and proportionate to objectives and expected evidence.</w:t>
            </w:r>
          </w:p>
        </w:tc>
      </w:tr>
      <w:tr>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Risk and evidence readiness</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5</w:t>
            </w:r>
          </w:p>
        </w:tc>
        <w:tc>
          <w:tcPr>
            <w:tcW w:type="dxa" w:w="6552"/>
            <w:shd w:fill="EEF3F0"/>
            <w:vAlign w:val="center"/>
          </w:tcPr>
          <w:p>
            <w:pPr>
              <w:spacing w:after="20"/>
            </w:pPr>
            <w:r/>
            <w:r>
              <w:rPr>
                <w:rFonts w:ascii="Mendl Sans Dusk Regular" w:hAnsi="Mendl Sans Dusk Regular" w:eastAsia="Mendl Sans Dusk Regular" w:cs="Mendl Sans Dusk Regular"/>
                <w:b w:val="0"/>
                <w:color w:val="202723"/>
                <w:sz w:val="16"/>
              </w:rPr>
              <w:t>Organizer, claims, permissions, safety, reputation and source evidence pass review.</w:t>
            </w:r>
          </w:p>
        </w:tc>
      </w:tr>
    </w:tbl>
    <w:p/>
    <w:p>
      <w:pPr>
        <w:pStyle w:val="Heading2"/>
      </w:pPr>
      <w:r>
        <w:t>Default BETA resource levels</w:t>
      </w:r>
    </w:p>
    <w:tbl>
      <w:tblPr>
        <w:tblW w:type="auto" w:w="0"/>
        <w:tblLayout w:type="fixed"/>
        <w:tblLook w:firstColumn="1" w:firstRow="1" w:lastColumn="0" w:lastRow="0" w:noHBand="0" w:noVBand="1" w:val="04A0"/>
      </w:tblPr>
      <w:tblGrid>
        <w:gridCol w:w="4939"/>
        <w:gridCol w:w="4939"/>
      </w:tblGrid>
      <w:tr>
        <w:trPr>
          <w:tblHeader w:val="true"/>
        </w:trPr>
        <w:tc>
          <w:tcPr>
            <w:tcW w:type="dxa" w:w="4939"/>
            <w:shd w:fill="386851"/>
            <w:vAlign w:val="center"/>
          </w:tcPr>
          <w:p>
            <w:pPr>
              <w:spacing w:after="20"/>
            </w:pPr>
            <w:r/>
            <w:r>
              <w:rPr>
                <w:rFonts w:ascii="Mendl Sans Dusk Medium" w:hAnsi="Mendl Sans Dusk Medium" w:eastAsia="Mendl Sans Dusk Medium" w:cs="Mendl Sans Dusk Medium"/>
                <w:b/>
                <w:color w:val="FFFFFF"/>
                <w:sz w:val="16"/>
              </w:rPr>
              <w:t>Score</w:t>
            </w:r>
          </w:p>
        </w:tc>
        <w:tc>
          <w:tcPr>
            <w:tcW w:type="dxa" w:w="4939"/>
            <w:shd w:fill="386851"/>
            <w:vAlign w:val="center"/>
          </w:tcPr>
          <w:p>
            <w:pPr>
              <w:spacing w:after="20"/>
            </w:pPr>
            <w:r/>
            <w:r>
              <w:rPr>
                <w:rFonts w:ascii="Mendl Sans Dusk Medium" w:hAnsi="Mendl Sans Dusk Medium" w:eastAsia="Mendl Sans Dusk Medium" w:cs="Mendl Sans Dusk Medium"/>
                <w:b/>
                <w:color w:val="FFFFFF"/>
                <w:sz w:val="16"/>
              </w:rPr>
              <w:t>Default resource assignment</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80-100</w:t>
            </w:r>
          </w:p>
        </w:tc>
        <w:tc>
          <w:tcPr>
            <w:tcW w:type="dxa" w:w="8208"/>
            <w:vAlign w:val="center"/>
          </w:tcPr>
          <w:p>
            <w:pPr>
              <w:spacing w:after="20"/>
            </w:pPr>
            <w:r/>
            <w:r>
              <w:rPr>
                <w:rFonts w:ascii="Mendl Sans Dusk Regular" w:hAnsi="Mendl Sans Dusk Regular" w:eastAsia="Mendl Sans Dusk Regular" w:cs="Mendl Sans Dusk Regular"/>
                <w:b w:val="0"/>
                <w:color w:val="202723"/>
                <w:sz w:val="16"/>
              </w:rPr>
              <w:t>Strategic anchor: assign Upper Brass sponsor and annual relationship plan.</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65-79</w:t>
            </w:r>
          </w:p>
        </w:tc>
        <w:tc>
          <w:tcPr>
            <w:tcW w:type="dxa" w:w="8208"/>
            <w:shd w:fill="EEF3F0"/>
            <w:vAlign w:val="center"/>
          </w:tcPr>
          <w:p>
            <w:pPr>
              <w:spacing w:after="20"/>
            </w:pPr>
            <w:r/>
            <w:r>
              <w:rPr>
                <w:rFonts w:ascii="Mendl Sans Dusk Regular" w:hAnsi="Mendl Sans Dusk Regular" w:eastAsia="Mendl Sans Dusk Regular" w:cs="Mendl Sans Dusk Regular"/>
                <w:b w:val="0"/>
                <w:color w:val="202723"/>
                <w:sz w:val="16"/>
              </w:rPr>
              <w:t>Standard activation: assign lane, staffing, budget and follow-up owner.</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50-64</w:t>
            </w:r>
          </w:p>
        </w:tc>
        <w:tc>
          <w:tcPr>
            <w:tcW w:type="dxa" w:w="8208"/>
            <w:vAlign w:val="center"/>
          </w:tcPr>
          <w:p>
            <w:pPr>
              <w:spacing w:after="20"/>
            </w:pPr>
            <w:r/>
            <w:r>
              <w:rPr>
                <w:rFonts w:ascii="Mendl Sans Dusk Regular" w:hAnsi="Mendl Sans Dusk Regular" w:eastAsia="Mendl Sans Dusk Regular" w:cs="Mendl Sans Dusk Regular"/>
                <w:b w:val="0"/>
                <w:color w:val="202723"/>
                <w:sz w:val="16"/>
              </w:rPr>
              <w:t>Scheduled support: attend, volunteer or participate using the calendar-defined mode.</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Below 50</w:t>
            </w:r>
          </w:p>
        </w:tc>
        <w:tc>
          <w:tcPr>
            <w:tcW w:type="dxa" w:w="8208"/>
            <w:shd w:fill="EEF3F0"/>
            <w:vAlign w:val="center"/>
          </w:tcPr>
          <w:p>
            <w:pPr>
              <w:spacing w:after="20"/>
            </w:pPr>
            <w:r/>
            <w:r>
              <w:rPr>
                <w:rFonts w:ascii="Mendl Sans Dusk Regular" w:hAnsi="Mendl Sans Dusk Regular" w:eastAsia="Mendl Sans Dusk Regular" w:cs="Mendl Sans Dusk Regular"/>
                <w:b w:val="0"/>
                <w:color w:val="202723"/>
                <w:sz w:val="16"/>
              </w:rPr>
              <w:t>Retain on the authorized schedule and use the lowest-risk, lowest-cost suitable mode pending discussion.</w:t>
            </w:r>
          </w:p>
        </w:tc>
      </w:tr>
    </w:tbl>
    <w:p/>
    <w:p>
      <w:pPr>
        <w:pStyle w:val="Heading2"/>
      </w:pPr>
      <w:r>
        <w:t>5.1 Conservative Annual Investment Control</w:t>
      </w:r>
    </w:p>
    <w:p>
      <w:r>
        <w:t>The BETA uses a $30,000 MHC-funded annual ceiling for the condensed operating calendar. Every monetary commitment must pass the score, approval and benefit controls. The range is grounded in current local examples from $400 memberships and $500 community sponsorships through $6,000 membership or agriculture packages and $10,000 exclusive sponsorships.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Budget class</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2027 ceiling</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Control</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Chamber memberships and leadership access</w:t>
            </w:r>
          </w:p>
        </w:tc>
        <w:tc>
          <w:tcPr>
            <w:tcW w:type="dxa" w:w="1656"/>
            <w:vAlign w:val="center"/>
          </w:tcPr>
          <w:p>
            <w:pPr>
              <w:spacing w:after="20"/>
            </w:pPr>
            <w:r/>
            <w:r>
              <w:rPr>
                <w:rFonts w:ascii="Mendl Sans Dusk Regular" w:hAnsi="Mendl Sans Dusk Regular" w:eastAsia="Mendl Sans Dusk Regular" w:cs="Mendl Sans Dusk Regular"/>
                <w:b w:val="0"/>
                <w:color w:val="202723"/>
                <w:sz w:val="16"/>
              </w:rPr>
              <w:t>$8,000</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Supports up to five target relationships, including a Regional Chamber tier if approved.</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Strategic event sponsorships</w:t>
            </w:r>
          </w:p>
        </w:tc>
        <w:tc>
          <w:tcPr>
            <w:tcW w:type="dxa" w:w="1656"/>
            <w:shd w:fill="EEF3F0"/>
            <w:vAlign w:val="center"/>
          </w:tcPr>
          <w:p>
            <w:pPr>
              <w:spacing w:after="20"/>
            </w:pPr>
            <w:r/>
            <w:r>
              <w:rPr>
                <w:rFonts w:ascii="Mendl Sans Dusk Regular" w:hAnsi="Mendl Sans Dusk Regular" w:eastAsia="Mendl Sans Dusk Regular" w:cs="Mendl Sans Dusk Regular"/>
                <w:b w:val="0"/>
                <w:color w:val="202723"/>
                <w:sz w:val="16"/>
              </w:rPr>
              <w:t>$10,000</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Reserve for scored Tier 1 and Tier 2 activations; no automatic renewals.</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MHC-hosted flagship seed funding</w:t>
            </w:r>
          </w:p>
        </w:tc>
        <w:tc>
          <w:tcPr>
            <w:tcW w:type="dxa" w:w="1656"/>
            <w:vAlign w:val="center"/>
          </w:tcPr>
          <w:p>
            <w:pPr>
              <w:spacing w:after="20"/>
            </w:pPr>
            <w:r/>
            <w:r>
              <w:rPr>
                <w:rFonts w:ascii="Mendl Sans Dusk Regular" w:hAnsi="Mendl Sans Dusk Regular" w:eastAsia="Mendl Sans Dusk Regular" w:cs="Mendl Sans Dusk Regular"/>
                <w:b w:val="0"/>
                <w:color w:val="202723"/>
                <w:sz w:val="16"/>
              </w:rPr>
              <w:t>$7,500</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Maximum MHC net exposure; external sponsors must fund at least 60% of direct event cost before launch.</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Travel, materials and volunteer activation</w:t>
            </w:r>
          </w:p>
        </w:tc>
        <w:tc>
          <w:tcPr>
            <w:tcW w:type="dxa" w:w="1656"/>
            <w:shd w:fill="EEF3F0"/>
            <w:vAlign w:val="center"/>
          </w:tcPr>
          <w:p>
            <w:pPr>
              <w:spacing w:after="20"/>
            </w:pPr>
            <w:r/>
            <w:r>
              <w:rPr>
                <w:rFonts w:ascii="Mendl Sans Dusk Regular" w:hAnsi="Mendl Sans Dusk Regular" w:eastAsia="Mendl Sans Dusk Regular" w:cs="Mendl Sans Dusk Regular"/>
                <w:b w:val="0"/>
                <w:color w:val="202723"/>
                <w:sz w:val="16"/>
              </w:rPr>
              <w:t>$3,000</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Local travel, booth materials, PPE, service supplies and controlled hospitality.</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Management reserve</w:t>
            </w:r>
          </w:p>
        </w:tc>
        <w:tc>
          <w:tcPr>
            <w:tcW w:type="dxa" w:w="1656"/>
            <w:vAlign w:val="center"/>
          </w:tcPr>
          <w:p>
            <w:pPr>
              <w:spacing w:after="20"/>
            </w:pPr>
            <w:r/>
            <w:r>
              <w:rPr>
                <w:rFonts w:ascii="Mendl Sans Dusk Regular" w:hAnsi="Mendl Sans Dusk Regular" w:eastAsia="Mendl Sans Dusk Regular" w:cs="Mendl Sans Dusk Regular"/>
                <w:b w:val="0"/>
                <w:color w:val="202723"/>
                <w:sz w:val="16"/>
              </w:rPr>
              <w:t>$1,500</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Owner-controlled contingency; unused funds remain uncommitted.</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Total MHC-funded annual ceiling</w:t>
            </w:r>
          </w:p>
        </w:tc>
        <w:tc>
          <w:tcPr>
            <w:tcW w:type="dxa" w:w="1656"/>
            <w:shd w:fill="EEF3F0"/>
            <w:vAlign w:val="center"/>
          </w:tcPr>
          <w:p>
            <w:pPr>
              <w:spacing w:after="20"/>
            </w:pPr>
            <w:r/>
            <w:r>
              <w:rPr>
                <w:rFonts w:ascii="Mendl Sans Dusk Regular" w:hAnsi="Mendl Sans Dusk Regular" w:eastAsia="Mendl Sans Dusk Regular" w:cs="Mendl Sans Dusk Regular"/>
                <w:b w:val="0"/>
                <w:color w:val="202723"/>
                <w:sz w:val="16"/>
              </w:rPr>
              <w:t>$30,000</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Gross ceiling before documented sponsor reimbursements or in-kind contributions.</w:t>
            </w:r>
          </w:p>
        </w:tc>
      </w:tr>
    </w:tbl>
    <w:p/>
    <w:p>
      <w:r>
        <w:t>Single-event planning caps are $1,000 for routine support, $2,500 for standard sponsorship and $6,000 for a strategic anchor. Any single commitment above $2,500, every hosted event and every exception requires Owner approval.</w:t>
      </w:r>
    </w:p>
    <w:p>
      <w:pPr>
        <w:pStyle w:val="Heading1"/>
      </w:pPr>
      <w:r>
        <w:t>6. Stage-Gate Workflow</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Gate</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Required action</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Retained evidence</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Discover</w:t>
            </w:r>
          </w:p>
        </w:tc>
        <w:tc>
          <w:tcPr>
            <w:tcW w:type="dxa" w:w="4968"/>
            <w:vAlign w:val="center"/>
          </w:tcPr>
          <w:p>
            <w:pPr>
              <w:spacing w:after="20"/>
            </w:pPr>
            <w:r/>
            <w:r>
              <w:rPr>
                <w:rFonts w:ascii="Mendl Sans Dusk Regular" w:hAnsi="Mendl Sans Dusk Regular" w:eastAsia="Mendl Sans Dusk Regular" w:cs="Mendl Sans Dusk Regular"/>
                <w:b w:val="0"/>
                <w:color w:val="202723"/>
                <w:sz w:val="16"/>
              </w:rPr>
              <w:t>Log event, organizer, source, recurrence, geography and possible participation lane.</w:t>
            </w:r>
          </w:p>
        </w:tc>
        <w:tc>
          <w:tcPr>
            <w:tcW w:type="dxa" w:w="3240"/>
            <w:vAlign w:val="center"/>
          </w:tcPr>
          <w:p>
            <w:pPr>
              <w:spacing w:after="20"/>
            </w:pPr>
            <w:r/>
            <w:r>
              <w:rPr>
                <w:rFonts w:ascii="Mendl Sans Dusk Regular" w:hAnsi="Mendl Sans Dusk Regular" w:eastAsia="Mendl Sans Dusk Regular" w:cs="Mendl Sans Dusk Regular"/>
                <w:b w:val="0"/>
                <w:color w:val="202723"/>
                <w:sz w:val="16"/>
              </w:rPr>
              <w:t>Marketing Flight opportunity record</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Validate</w:t>
            </w:r>
          </w:p>
        </w:tc>
        <w:tc>
          <w:tcPr>
            <w:tcW w:type="dxa" w:w="4968"/>
            <w:shd w:fill="EEF3F0"/>
            <w:vAlign w:val="center"/>
          </w:tcPr>
          <w:p>
            <w:pPr>
              <w:spacing w:after="20"/>
            </w:pPr>
            <w:r/>
            <w:r>
              <w:rPr>
                <w:rFonts w:ascii="Mendl Sans Dusk Regular" w:hAnsi="Mendl Sans Dusk Regular" w:eastAsia="Mendl Sans Dusk Regular" w:cs="Mendl Sans Dusk Regular"/>
                <w:b w:val="0"/>
                <w:color w:val="202723"/>
                <w:sz w:val="16"/>
              </w:rPr>
              <w:t>Confirm date, source, organizer, cost, sponsorship inventory, audience and cancellation terms.</w:t>
            </w:r>
          </w:p>
        </w:tc>
        <w:tc>
          <w:tcPr>
            <w:tcW w:type="dxa" w:w="3240"/>
            <w:shd w:fill="EEF3F0"/>
            <w:vAlign w:val="center"/>
          </w:tcPr>
          <w:p>
            <w:pPr>
              <w:spacing w:after="20"/>
            </w:pPr>
            <w:r/>
            <w:r>
              <w:rPr>
                <w:rFonts w:ascii="Mendl Sans Dusk Regular" w:hAnsi="Mendl Sans Dusk Regular" w:eastAsia="Mendl Sans Dusk Regular" w:cs="Mendl Sans Dusk Regular"/>
                <w:b w:val="0"/>
                <w:color w:val="202723"/>
                <w:sz w:val="16"/>
              </w:rPr>
              <w:t>Validation record with source links</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Score</w:t>
            </w:r>
          </w:p>
        </w:tc>
        <w:tc>
          <w:tcPr>
            <w:tcW w:type="dxa" w:w="4968"/>
            <w:vAlign w:val="center"/>
          </w:tcPr>
          <w:p>
            <w:pPr>
              <w:spacing w:after="20"/>
            </w:pPr>
            <w:r/>
            <w:r>
              <w:rPr>
                <w:rFonts w:ascii="Mendl Sans Dusk Regular" w:hAnsi="Mendl Sans Dusk Regular" w:eastAsia="Mendl Sans Dusk Regular" w:cs="Mendl Sans Dusk Regular"/>
                <w:b w:val="0"/>
                <w:color w:val="202723"/>
                <w:sz w:val="16"/>
              </w:rPr>
              <w:t>Apply weighted score, select portfolio tier and state decision rationale.</w:t>
            </w:r>
          </w:p>
        </w:tc>
        <w:tc>
          <w:tcPr>
            <w:tcW w:type="dxa" w:w="3240"/>
            <w:vAlign w:val="center"/>
          </w:tcPr>
          <w:p>
            <w:pPr>
              <w:spacing w:after="20"/>
            </w:pPr>
            <w:r/>
            <w:r>
              <w:rPr>
                <w:rFonts w:ascii="Mendl Sans Dusk Regular" w:hAnsi="Mendl Sans Dusk Regular" w:eastAsia="Mendl Sans Dusk Regular" w:cs="Mendl Sans Dusk Regular"/>
                <w:b w:val="0"/>
                <w:color w:val="202723"/>
                <w:sz w:val="16"/>
              </w:rPr>
              <w:t>Event scorecard</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Authorize</w:t>
            </w:r>
          </w:p>
        </w:tc>
        <w:tc>
          <w:tcPr>
            <w:tcW w:type="dxa" w:w="4968"/>
            <w:shd w:fill="EEF3F0"/>
            <w:vAlign w:val="center"/>
          </w:tcPr>
          <w:p>
            <w:pPr>
              <w:spacing w:after="20"/>
            </w:pPr>
            <w:r/>
            <w:r>
              <w:rPr>
                <w:rFonts w:ascii="Mendl Sans Dusk Regular" w:hAnsi="Mendl Sans Dusk Regular" w:eastAsia="Mendl Sans Dusk Regular" w:cs="Mendl Sans Dusk Regular"/>
                <w:b w:val="0"/>
                <w:color w:val="202723"/>
                <w:sz w:val="16"/>
              </w:rPr>
              <w:t>Assign Event Sponsor, approve lane, budget, staffing, message and risk controls.</w:t>
            </w:r>
          </w:p>
        </w:tc>
        <w:tc>
          <w:tcPr>
            <w:tcW w:type="dxa" w:w="3240"/>
            <w:shd w:fill="EEF3F0"/>
            <w:vAlign w:val="center"/>
          </w:tcPr>
          <w:p>
            <w:pPr>
              <w:spacing w:after="20"/>
            </w:pPr>
            <w:r/>
            <w:r>
              <w:rPr>
                <w:rFonts w:ascii="Mendl Sans Dusk Regular" w:hAnsi="Mendl Sans Dusk Regular" w:eastAsia="Mendl Sans Dusk Regular" w:cs="Mendl Sans Dusk Regular"/>
                <w:b w:val="0"/>
                <w:color w:val="202723"/>
                <w:sz w:val="16"/>
              </w:rPr>
              <w:t>Approved event decision record</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Brief</w:t>
            </w:r>
          </w:p>
        </w:tc>
        <w:tc>
          <w:tcPr>
            <w:tcW w:type="dxa" w:w="4968"/>
            <w:vAlign w:val="center"/>
          </w:tcPr>
          <w:p>
            <w:pPr>
              <w:spacing w:after="20"/>
            </w:pPr>
            <w:r/>
            <w:r>
              <w:rPr>
                <w:rFonts w:ascii="Mendl Sans Dusk Regular" w:hAnsi="Mendl Sans Dusk Regular" w:eastAsia="Mendl Sans Dusk Regular" w:cs="Mendl Sans Dusk Regular"/>
                <w:b w:val="0"/>
                <w:color w:val="202723"/>
                <w:sz w:val="16"/>
              </w:rPr>
              <w:t>Issue mission, objectives, contacts, talking points, logistics, dress, media and follow-up plan.</w:t>
            </w:r>
          </w:p>
        </w:tc>
        <w:tc>
          <w:tcPr>
            <w:tcW w:type="dxa" w:w="3240"/>
            <w:vAlign w:val="center"/>
          </w:tcPr>
          <w:p>
            <w:pPr>
              <w:spacing w:after="20"/>
            </w:pPr>
            <w:r/>
            <w:r>
              <w:rPr>
                <w:rFonts w:ascii="Mendl Sans Dusk Regular" w:hAnsi="Mendl Sans Dusk Regular" w:eastAsia="Mendl Sans Dusk Regular" w:cs="Mendl Sans Dusk Regular"/>
                <w:b w:val="0"/>
                <w:color w:val="202723"/>
                <w:sz w:val="16"/>
              </w:rPr>
              <w:t>Event briefing sheet</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Execute</w:t>
            </w:r>
          </w:p>
        </w:tc>
        <w:tc>
          <w:tcPr>
            <w:tcW w:type="dxa" w:w="4968"/>
            <w:shd w:fill="EEF3F0"/>
            <w:vAlign w:val="center"/>
          </w:tcPr>
          <w:p>
            <w:pPr>
              <w:spacing w:after="20"/>
            </w:pPr>
            <w:r/>
            <w:r>
              <w:rPr>
                <w:rFonts w:ascii="Mendl Sans Dusk Regular" w:hAnsi="Mendl Sans Dusk Regular" w:eastAsia="Mendl Sans Dusk Regular" w:cs="Mendl Sans Dusk Regular"/>
                <w:b w:val="0"/>
                <w:color w:val="202723"/>
                <w:sz w:val="16"/>
              </w:rPr>
              <w:t>Represent MHC openly, follow rules, capture approved contacts and document commitments.</w:t>
            </w:r>
          </w:p>
        </w:tc>
        <w:tc>
          <w:tcPr>
            <w:tcW w:type="dxa" w:w="3240"/>
            <w:shd w:fill="EEF3F0"/>
            <w:vAlign w:val="center"/>
          </w:tcPr>
          <w:p>
            <w:pPr>
              <w:spacing w:after="20"/>
            </w:pPr>
            <w:r/>
            <w:r>
              <w:rPr>
                <w:rFonts w:ascii="Mendl Sans Dusk Regular" w:hAnsi="Mendl Sans Dusk Regular" w:eastAsia="Mendl Sans Dusk Regular" w:cs="Mendl Sans Dusk Regular"/>
                <w:b w:val="0"/>
                <w:color w:val="202723"/>
                <w:sz w:val="16"/>
              </w:rPr>
              <w:t>Attendance, contact and expense records</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Follow through</w:t>
            </w:r>
          </w:p>
        </w:tc>
        <w:tc>
          <w:tcPr>
            <w:tcW w:type="dxa" w:w="4968"/>
            <w:vAlign w:val="center"/>
          </w:tcPr>
          <w:p>
            <w:pPr>
              <w:spacing w:after="20"/>
            </w:pPr>
            <w:r/>
            <w:r>
              <w:rPr>
                <w:rFonts w:ascii="Mendl Sans Dusk Regular" w:hAnsi="Mendl Sans Dusk Regular" w:eastAsia="Mendl Sans Dusk Regular" w:cs="Mendl Sans Dusk Regular"/>
                <w:b w:val="0"/>
                <w:color w:val="202723"/>
                <w:sz w:val="16"/>
              </w:rPr>
              <w:t>Enter contacts within one business day; complete commitments and sales handoff.</w:t>
            </w:r>
          </w:p>
        </w:tc>
        <w:tc>
          <w:tcPr>
            <w:tcW w:type="dxa" w:w="3240"/>
            <w:vAlign w:val="center"/>
          </w:tcPr>
          <w:p>
            <w:pPr>
              <w:spacing w:after="20"/>
            </w:pPr>
            <w:r/>
            <w:r>
              <w:rPr>
                <w:rFonts w:ascii="Mendl Sans Dusk Regular" w:hAnsi="Mendl Sans Dusk Regular" w:eastAsia="Mendl Sans Dusk Regular" w:cs="Mendl Sans Dusk Regular"/>
                <w:b w:val="0"/>
                <w:color w:val="202723"/>
                <w:sz w:val="16"/>
              </w:rPr>
              <w:t>Marketing Flight tasks and handoff record</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AAR and close</w:t>
            </w:r>
          </w:p>
        </w:tc>
        <w:tc>
          <w:tcPr>
            <w:tcW w:type="dxa" w:w="4968"/>
            <w:shd w:fill="EEF3F0"/>
            <w:vAlign w:val="center"/>
          </w:tcPr>
          <w:p>
            <w:pPr>
              <w:spacing w:after="20"/>
            </w:pPr>
            <w:r/>
            <w:r>
              <w:rPr>
                <w:rFonts w:ascii="Mendl Sans Dusk Regular" w:hAnsi="Mendl Sans Dusk Regular" w:eastAsia="Mendl Sans Dusk Regular" w:cs="Mendl Sans Dusk Regular"/>
                <w:b w:val="0"/>
                <w:color w:val="202723"/>
                <w:sz w:val="16"/>
              </w:rPr>
              <w:t>Compare objective to result, reconcile cost, retain proof and set next-year recommendation.</w:t>
            </w:r>
          </w:p>
        </w:tc>
        <w:tc>
          <w:tcPr>
            <w:tcW w:type="dxa" w:w="3240"/>
            <w:shd w:fill="EEF3F0"/>
            <w:vAlign w:val="center"/>
          </w:tcPr>
          <w:p>
            <w:pPr>
              <w:spacing w:after="20"/>
            </w:pPr>
            <w:r/>
            <w:r>
              <w:rPr>
                <w:rFonts w:ascii="Mendl Sans Dusk Regular" w:hAnsi="Mendl Sans Dusk Regular" w:eastAsia="Mendl Sans Dusk Regular" w:cs="Mendl Sans Dusk Regular"/>
                <w:b w:val="0"/>
                <w:color w:val="202723"/>
                <w:sz w:val="16"/>
              </w:rPr>
              <w:t>After Action Review and archive package</w:t>
            </w:r>
          </w:p>
        </w:tc>
      </w:tr>
    </w:tbl>
    <w:p/>
    <w:p>
      <w:pPr>
        <w:pStyle w:val="Heading1"/>
      </w:pPr>
      <w:r>
        <w:t>7. 2027 Condensed Operating Calendar</w:t>
      </w:r>
    </w:p>
    <w:p>
      <w:r>
        <w:t>This review draft contains 30 proposed activations: 26 in the Tri-Cities area and four major-event exceptions. Pendleton Round-Up is retained as the principal out-of-area community exception. Spokane AGC/WSDOT and agriculture events support industry access; Umatilla County Fair supports the regional agriculture market. The West Richland Veterans Day Parade is included under the Chief Editor’s prior direction and is the only entry not reproduced from the supplied workbook.</w:t>
      </w:r>
    </w:p>
    <w:tbl>
      <w:tblPr>
        <w:tblW w:type="auto" w:w="0"/>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411"/>
            <w:shd w:fill="386851"/>
            <w:vAlign w:val="center"/>
          </w:tcPr>
          <w:p>
            <w:pPr>
              <w:spacing w:after="20"/>
            </w:pPr>
            <w:r/>
            <w:r>
              <w:rPr>
                <w:rFonts w:ascii="Mendl Sans Dusk Medium" w:hAnsi="Mendl Sans Dusk Medium" w:eastAsia="Mendl Sans Dusk Medium" w:cs="Mendl Sans Dusk Medium"/>
                <w:b/>
                <w:color w:val="FFFFFF"/>
                <w:sz w:val="16"/>
              </w:rPr>
              <w:t>#</w:t>
            </w:r>
          </w:p>
        </w:tc>
        <w:tc>
          <w:tcPr>
            <w:tcW w:type="dxa" w:w="1411"/>
            <w:shd w:fill="386851"/>
            <w:vAlign w:val="center"/>
          </w:tcPr>
          <w:p>
            <w:pPr>
              <w:spacing w:after="20"/>
            </w:pPr>
            <w:r/>
            <w:r>
              <w:rPr>
                <w:rFonts w:ascii="Mendl Sans Dusk Medium" w:hAnsi="Mendl Sans Dusk Medium" w:eastAsia="Mendl Sans Dusk Medium" w:cs="Mendl Sans Dusk Medium"/>
                <w:b/>
                <w:color w:val="FFFFFF"/>
                <w:sz w:val="16"/>
              </w:rPr>
              <w:t>Month</w:t>
            </w:r>
          </w:p>
        </w:tc>
        <w:tc>
          <w:tcPr>
            <w:tcW w:type="dxa" w:w="1411"/>
            <w:shd w:fill="386851"/>
            <w:vAlign w:val="center"/>
          </w:tcPr>
          <w:p>
            <w:pPr>
              <w:spacing w:after="20"/>
            </w:pPr>
            <w:r/>
            <w:r>
              <w:rPr>
                <w:rFonts w:ascii="Mendl Sans Dusk Medium" w:hAnsi="Mendl Sans Dusk Medium" w:eastAsia="Mendl Sans Dusk Medium" w:cs="Mendl Sans Dusk Medium"/>
                <w:b/>
                <w:color w:val="FFFFFF"/>
                <w:sz w:val="16"/>
              </w:rPr>
              <w:t>Event</w:t>
            </w:r>
          </w:p>
        </w:tc>
        <w:tc>
          <w:tcPr>
            <w:tcW w:type="dxa" w:w="1411"/>
            <w:shd w:fill="386851"/>
            <w:vAlign w:val="center"/>
          </w:tcPr>
          <w:p>
            <w:pPr>
              <w:spacing w:after="20"/>
            </w:pPr>
            <w:r/>
            <w:r>
              <w:rPr>
                <w:rFonts w:ascii="Mendl Sans Dusk Medium" w:hAnsi="Mendl Sans Dusk Medium" w:eastAsia="Mendl Sans Dusk Medium" w:cs="Mendl Sans Dusk Medium"/>
                <w:b/>
                <w:color w:val="FFFFFF"/>
                <w:sz w:val="16"/>
              </w:rPr>
              <w:t>City / State</w:t>
            </w:r>
          </w:p>
        </w:tc>
        <w:tc>
          <w:tcPr>
            <w:tcW w:type="dxa" w:w="1411"/>
            <w:shd w:fill="386851"/>
            <w:vAlign w:val="center"/>
          </w:tcPr>
          <w:p>
            <w:pPr>
              <w:spacing w:after="20"/>
            </w:pPr>
            <w:r/>
            <w:r>
              <w:rPr>
                <w:rFonts w:ascii="Mendl Sans Dusk Medium" w:hAnsi="Mendl Sans Dusk Medium" w:eastAsia="Mendl Sans Dusk Medium" w:cs="Mendl Sans Dusk Medium"/>
                <w:b/>
                <w:color w:val="FFFFFF"/>
                <w:sz w:val="16"/>
              </w:rPr>
              <w:t>2027 date / window</w:t>
            </w:r>
          </w:p>
        </w:tc>
        <w:tc>
          <w:tcPr>
            <w:tcW w:type="dxa" w:w="1411"/>
            <w:shd w:fill="386851"/>
            <w:vAlign w:val="center"/>
          </w:tcPr>
          <w:p>
            <w:pPr>
              <w:spacing w:after="20"/>
            </w:pPr>
            <w:r/>
            <w:r>
              <w:rPr>
                <w:rFonts w:ascii="Mendl Sans Dusk Medium" w:hAnsi="Mendl Sans Dusk Medium" w:eastAsia="Mendl Sans Dusk Medium" w:cs="Mendl Sans Dusk Medium"/>
                <w:b/>
                <w:color w:val="FFFFFF"/>
                <w:sz w:val="16"/>
              </w:rPr>
              <w:t>Status</w:t>
            </w:r>
          </w:p>
        </w:tc>
        <w:tc>
          <w:tcPr>
            <w:tcW w:type="dxa" w:w="1411"/>
            <w:shd w:fill="386851"/>
            <w:vAlign w:val="center"/>
          </w:tcPr>
          <w:p>
            <w:pPr>
              <w:spacing w:after="20"/>
            </w:pPr>
            <w:r/>
            <w:r>
              <w:rPr>
                <w:rFonts w:ascii="Mendl Sans Dusk Medium" w:hAnsi="Mendl Sans Dusk Medium" w:eastAsia="Mendl Sans Dusk Medium" w:cs="Mendl Sans Dusk Medium"/>
                <w:b/>
                <w:color w:val="FFFFFF"/>
                <w:sz w:val="16"/>
              </w:rPr>
              <w:t>Participation mode</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1</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January</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Washington and Oregon Potato Conference</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January 25-28, 2027</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Confirmed</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 Exhibitor, Sponsor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2</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January</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Tri-Cities Sportsmen Show</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found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3</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January</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Save the Date! AGC-WSDOT Annual Meeting</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Spokane,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Jan 7, 2027</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Confirmed</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Participant</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4</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February</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Regional Home &amp; Garden Show</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Exhibit/Sponsor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5</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February</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Spokane Ag Show</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Spokane,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February 2-4, 2027</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Confirmed</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 Exhibitor, Sponsor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6</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March</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Custer's Spring Arts &amp; Crafts Show</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March 19-21, 2027</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Confirmed</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 Exhibitor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7</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March</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Economic Summit</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Tri-Cities,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Unknown</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8</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April</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Lakeside Gem &amp; Mineral Show</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April 18-19, 2027</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Confirmed</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 Exhibitor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9</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April</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Pasco Taco Crawl</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found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10</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May</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Tri-City Construction Council Annual Scholarship Golf Tournament</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Attend/Sponsor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11</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May</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Pasco Cinco de Mayo Parade &amp; Festival</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Attend/Sponsor/Vendor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12</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May</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Pasco Farmers Market</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Attend/Exhibit</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13</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June</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Cool Desert Nights</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Richland,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Attend/Exhibit/Sponsor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14</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June</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Tri-Cities Pride Festival</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found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 Exhibitor (fully booked for 2024), Volunteer (closed for 2024), Performer/Talent (fully booked for 2024)</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15</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July</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2024 Water Follies Apollo Columbia Cup &amp; STCU Over-the-River Air Show</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Kennewick/Pasco,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found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Spectator, Pit Pass</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16</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July</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Pasco Grand Old 4th of July Celebration</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Pasco,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Attend/Sponsor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17</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July</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Art in the Park Festival</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Richland,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Attend/Exhibit/Sponsor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18</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August</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Benton Franklin Fair and Horse Heaven Round Up</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Unknown</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Attendee/Vendor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19</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August</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Umatilla County Fair</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Hermiston, OR</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Published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Spectator, Participant, Vendor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20</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September</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Pendleton Round-Up</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Pendleton, OR</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Published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Spectator, Participant</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21</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September</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Mayors' BBQ</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Tri-Cities,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Unknown</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22</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September</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Tri-Cities Parade of Homes</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Tri-Cities,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Attend/Sponsor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23</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October</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Business Showcase</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Tri-Cities,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Unknown</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Exhibitor/Attendee</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24</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October</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Field of Screams</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Richland,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found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25</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November</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Pacific Northwest Vegetable Association Conference</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 Exhibitor, Sponsor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26</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November</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Tri-Cities Wine Festival</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found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27</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November</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West Richland Tri-Cities Regional Veterans Day Parade</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West Richland,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November 2027 - revalidate</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Previously directed strategic addition</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Sponsor / volunteer / participate</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28</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December</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Hometown Holiday Parade</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Attend/Sponsor</w:t>
            </w:r>
          </w:p>
        </w:tc>
      </w:tr>
      <w:tr>
        <w:tc>
          <w:tcPr>
            <w:tcW w:type="dxa" w:w="432"/>
            <w:vAlign w:val="center"/>
          </w:tcPr>
          <w:p>
            <w:pPr>
              <w:spacing w:after="20"/>
            </w:pPr>
            <w:r/>
            <w:r>
              <w:rPr>
                <w:rFonts w:ascii="Mendl Sans Dusk Regular" w:hAnsi="Mendl Sans Dusk Regular" w:eastAsia="Mendl Sans Dusk Regular" w:cs="Mendl Sans Dusk Regular"/>
                <w:b w:val="0"/>
                <w:color w:val="202723"/>
                <w:sz w:val="16"/>
              </w:rPr>
              <w:t>29</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December</w:t>
            </w:r>
          </w:p>
        </w:tc>
        <w:tc>
          <w:tcPr>
            <w:tcW w:type="dxa" w:w="2952"/>
            <w:vAlign w:val="center"/>
          </w:tcPr>
          <w:p>
            <w:pPr>
              <w:spacing w:after="20"/>
            </w:pPr>
            <w:r/>
            <w:r>
              <w:rPr>
                <w:rFonts w:ascii="Mendl Sans Dusk Regular" w:hAnsi="Mendl Sans Dusk Regular" w:eastAsia="Mendl Sans Dusk Regular" w:cs="Mendl Sans Dusk Regular"/>
                <w:b w:val="0"/>
                <w:color w:val="202723"/>
                <w:sz w:val="16"/>
              </w:rPr>
              <w:t>NW Hort Expo</w:t>
            </w:r>
          </w:p>
        </w:tc>
        <w:tc>
          <w:tcPr>
            <w:tcW w:type="dxa" w:w="1440"/>
            <w:vAlign w:val="center"/>
          </w:tcPr>
          <w:p>
            <w:pPr>
              <w:spacing w:after="20"/>
            </w:pPr>
            <w:r/>
            <w:r>
              <w:rPr>
                <w:rFonts w:ascii="Mendl Sans Dusk Regular" w:hAnsi="Mendl Sans Dusk Regular" w:eastAsia="Mendl Sans Dusk Regular" w:cs="Mendl Sans Dusk Regular"/>
                <w:b w:val="0"/>
                <w:color w:val="202723"/>
                <w:sz w:val="16"/>
              </w:rPr>
              <w:t>Kennewick, WA</w:t>
            </w:r>
          </w:p>
        </w:tc>
        <w:tc>
          <w:tcPr>
            <w:tcW w:type="dxa" w:w="1512"/>
            <w:vAlign w:val="center"/>
          </w:tcPr>
          <w:p>
            <w:pPr>
              <w:spacing w:after="20"/>
            </w:pPr>
            <w:r/>
            <w:r>
              <w:rPr>
                <w:rFonts w:ascii="Mendl Sans Dusk Regular" w:hAnsi="Mendl Sans Dusk Regular" w:eastAsia="Mendl Sans Dusk Regular" w:cs="Mendl Sans Dusk Regular"/>
                <w:b w:val="0"/>
                <w:color w:val="202723"/>
                <w:sz w:val="16"/>
              </w:rPr>
              <w:t>Not Confirmed</w:t>
            </w:r>
          </w:p>
        </w:tc>
        <w:tc>
          <w:tcPr>
            <w:tcW w:type="dxa" w:w="108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vAlign w:val="center"/>
          </w:tcPr>
          <w:p>
            <w:pPr>
              <w:spacing w:after="20"/>
            </w:pPr>
            <w:r/>
            <w:r>
              <w:rPr>
                <w:rFonts w:ascii="Mendl Sans Dusk Regular" w:hAnsi="Mendl Sans Dusk Regular" w:eastAsia="Mendl Sans Dusk Regular" w:cs="Mendl Sans Dusk Regular"/>
                <w:b w:val="0"/>
                <w:color w:val="202723"/>
                <w:sz w:val="16"/>
              </w:rPr>
              <w:t>Attendee, Exhibitor, Sponsor</w:t>
            </w:r>
          </w:p>
        </w:tc>
      </w:tr>
      <w:tr>
        <w:tc>
          <w:tcPr>
            <w:tcW w:type="dxa" w:w="432"/>
            <w:shd w:fill="EEF3F0"/>
            <w:vAlign w:val="center"/>
          </w:tcPr>
          <w:p>
            <w:pPr>
              <w:spacing w:after="20"/>
            </w:pPr>
            <w:r/>
            <w:r>
              <w:rPr>
                <w:rFonts w:ascii="Mendl Sans Dusk Regular" w:hAnsi="Mendl Sans Dusk Regular" w:eastAsia="Mendl Sans Dusk Regular" w:cs="Mendl Sans Dusk Regular"/>
                <w:b w:val="0"/>
                <w:color w:val="202723"/>
                <w:sz w:val="16"/>
              </w:rPr>
              <w:t>30</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December</w:t>
            </w:r>
          </w:p>
        </w:tc>
        <w:tc>
          <w:tcPr>
            <w:tcW w:type="dxa" w:w="2952"/>
            <w:shd w:fill="EEF3F0"/>
            <w:vAlign w:val="center"/>
          </w:tcPr>
          <w:p>
            <w:pPr>
              <w:spacing w:after="20"/>
            </w:pPr>
            <w:r/>
            <w:r>
              <w:rPr>
                <w:rFonts w:ascii="Mendl Sans Dusk Regular" w:hAnsi="Mendl Sans Dusk Regular" w:eastAsia="Mendl Sans Dusk Regular" w:cs="Mendl Sans Dusk Regular"/>
                <w:b w:val="0"/>
                <w:color w:val="202723"/>
                <w:sz w:val="16"/>
              </w:rPr>
              <w:t>Winter Wonderland</w:t>
            </w:r>
          </w:p>
        </w:tc>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Richland, WA</w:t>
            </w:r>
          </w:p>
        </w:tc>
        <w:tc>
          <w:tcPr>
            <w:tcW w:type="dxa" w:w="1512"/>
            <w:shd w:fill="EEF3F0"/>
            <w:vAlign w:val="center"/>
          </w:tcPr>
          <w:p>
            <w:pPr>
              <w:spacing w:after="20"/>
            </w:pPr>
            <w:r/>
            <w:r>
              <w:rPr>
                <w:rFonts w:ascii="Mendl Sans Dusk Regular" w:hAnsi="Mendl Sans Dusk Regular" w:eastAsia="Mendl Sans Dusk Regular" w:cs="Mendl Sans Dusk Regular"/>
                <w:b w:val="0"/>
                <w:color w:val="202723"/>
                <w:sz w:val="16"/>
              </w:rPr>
              <w:t>December 1-31, 2027 (estimated)</w:t>
            </w:r>
          </w:p>
        </w:tc>
        <w:tc>
          <w:tcPr>
            <w:tcW w:type="dxa" w:w="1080"/>
            <w:shd w:fill="EEF3F0"/>
            <w:vAlign w:val="center"/>
          </w:tcPr>
          <w:p>
            <w:pPr>
              <w:spacing w:after="20"/>
            </w:pPr>
            <w:r/>
            <w:r>
              <w:rPr>
                <w:rFonts w:ascii="Mendl Sans Dusk Regular" w:hAnsi="Mendl Sans Dusk Regular" w:eastAsia="Mendl Sans Dusk Regular" w:cs="Mendl Sans Dusk Regular"/>
                <w:b w:val="0"/>
                <w:color w:val="202723"/>
                <w:sz w:val="16"/>
              </w:rPr>
              <w:t>Forecast</w:t>
            </w:r>
          </w:p>
        </w:tc>
        <w:tc>
          <w:tcPr>
            <w:tcW w:type="dxa" w:w="1296"/>
            <w:shd w:fill="EEF3F0"/>
            <w:vAlign w:val="center"/>
          </w:tcPr>
          <w:p>
            <w:pPr>
              <w:spacing w:after="20"/>
            </w:pPr>
            <w:r/>
            <w:r>
              <w:rPr>
                <w:rFonts w:ascii="Mendl Sans Dusk Regular" w:hAnsi="Mendl Sans Dusk Regular" w:eastAsia="Mendl Sans Dusk Regular" w:cs="Mendl Sans Dusk Regular"/>
                <w:b w:val="0"/>
                <w:color w:val="202723"/>
                <w:sz w:val="16"/>
              </w:rPr>
              <w:t>Attendee</w:t>
            </w:r>
          </w:p>
        </w:tc>
      </w:tr>
    </w:tbl>
    <w:p/>
    <w:p>
      <w:r>
        <w:t>This calendar is a proposed condensation for Chief Editor approval. No further addition, deletion or substitution becomes controlled until discussed and approved.</w:t>
      </w:r>
    </w:p>
    <w:p>
      <w:pPr>
        <w:pStyle w:val="Heading1"/>
      </w:pPr>
      <w:r>
        <w:t>8. Chamber Engagement Campaign</w:t>
      </w:r>
    </w:p>
    <w:p>
      <w:pPr>
        <w:pStyle w:val="ListBullet"/>
        <w:spacing w:after="60"/>
      </w:pPr>
      <w:r>
        <w:t>Establish one controlled relationship plan for each approved Chamber.</w:t>
      </w:r>
    </w:p>
    <w:p>
      <w:pPr>
        <w:pStyle w:val="ListBullet"/>
        <w:spacing w:after="60"/>
      </w:pPr>
      <w:r>
        <w:t>Assign an executive relationship owner and an operating coordinator.</w:t>
      </w:r>
    </w:p>
    <w:p>
      <w:pPr>
        <w:pStyle w:val="ListBullet"/>
        <w:spacing w:after="60"/>
      </w:pPr>
      <w:r>
        <w:t>Define target committees, leadership forums, ribbon cuttings, workforce programs and sponsorship opportunities.</w:t>
      </w:r>
    </w:p>
    <w:p>
      <w:pPr>
        <w:pStyle w:val="ListBullet"/>
        <w:spacing w:after="60"/>
      </w:pPr>
      <w:r>
        <w:t>Attend consistently enough to become useful and credible; avoid isolated “logo-only” sponsorships without a relationship objective.</w:t>
      </w:r>
    </w:p>
    <w:p>
      <w:pPr>
        <w:pStyle w:val="ListBullet"/>
        <w:spacing w:after="60"/>
      </w:pPr>
      <w:r>
        <w:t>Record introductions, commitments, community issues and next actions in Marketing Flight.</w:t>
      </w:r>
    </w:p>
    <w:p>
      <w:pPr>
        <w:pStyle w:val="ListBullet"/>
        <w:spacing w:after="60"/>
      </w:pPr>
      <w:r>
        <w:t>Complete a quarterly AAR on access, service delivered, opportunities, reputation and workload.</w:t>
      </w:r>
    </w:p>
    <w:p>
      <w:pPr>
        <w:pStyle w:val="Heading1"/>
      </w:pPr>
      <w:r>
        <w:t>9. Event Briefing and Conduct</w:t>
      </w:r>
    </w:p>
    <w:p>
      <w:pPr>
        <w:pStyle w:val="Heading2"/>
      </w:pPr>
      <w:r>
        <w:t>Required briefing content</w:t>
      </w:r>
    </w:p>
    <w:p>
      <w:pPr>
        <w:pStyle w:val="ListBullet"/>
        <w:spacing w:after="60"/>
      </w:pPr>
      <w:r>
        <w:t>event mission and measurable objective</w:t>
      </w:r>
    </w:p>
    <w:p>
      <w:pPr>
        <w:pStyle w:val="ListBullet"/>
        <w:spacing w:after="60"/>
      </w:pPr>
      <w:r>
        <w:t>Event Sponsor, attendees, backup and organizer contact</w:t>
      </w:r>
    </w:p>
    <w:p>
      <w:pPr>
        <w:pStyle w:val="ListBullet"/>
        <w:spacing w:after="60"/>
      </w:pPr>
      <w:r>
        <w:t>priority people and approved conversation objectives</w:t>
      </w:r>
    </w:p>
    <w:p>
      <w:pPr>
        <w:pStyle w:val="ListBullet"/>
        <w:spacing w:after="60"/>
      </w:pPr>
      <w:r>
        <w:t>approved MHC description, proof points and prohibited claims</w:t>
      </w:r>
    </w:p>
    <w:p>
      <w:pPr>
        <w:pStyle w:val="ListBullet"/>
        <w:spacing w:after="60"/>
      </w:pPr>
      <w:r>
        <w:t>participation lane, dress, booth, signage, materials and accessibility</w:t>
      </w:r>
    </w:p>
    <w:p>
      <w:pPr>
        <w:pStyle w:val="ListBullet"/>
        <w:spacing w:after="60"/>
      </w:pPr>
      <w:r>
        <w:t>travel, schedule, check-in, parking, venue and weather plan</w:t>
      </w:r>
    </w:p>
    <w:p>
      <w:pPr>
        <w:pStyle w:val="ListBullet"/>
        <w:spacing w:after="60"/>
      </w:pPr>
      <w:r>
        <w:t>safety, insurance, alcohol, food, minors, vehicles, equipment and emergency controls</w:t>
      </w:r>
    </w:p>
    <w:p>
      <w:pPr>
        <w:pStyle w:val="ListBullet"/>
        <w:spacing w:after="60"/>
      </w:pPr>
      <w:r>
        <w:t>photo, media, testimonial and social-post permissions</w:t>
      </w:r>
    </w:p>
    <w:p>
      <w:pPr>
        <w:pStyle w:val="ListBullet"/>
        <w:spacing w:after="60"/>
      </w:pPr>
      <w:r>
        <w:t>contact capture, commitment log and follow-up owner</w:t>
      </w:r>
    </w:p>
    <w:p>
      <w:pPr>
        <w:pStyle w:val="ListBullet"/>
        <w:spacing w:after="60"/>
      </w:pPr>
      <w:r>
        <w:t>budget, cost code, receipts and closeout deadline</w:t>
      </w:r>
    </w:p>
    <w:p>
      <w:pPr>
        <w:pStyle w:val="Heading2"/>
      </w:pPr>
      <w:r>
        <w:t>Conduct standard</w:t>
      </w:r>
    </w:p>
    <w:p>
      <w:r>
        <w:t>Represent MHC openly and professionally. Serve before selling. Do not pressure organizers, collect personal data without a legitimate purpose, make unapproved promises, discuss confidential project information, offer improper gifts, use political activity to obtain business, or publish people and property without approval.</w:t>
      </w:r>
    </w:p>
    <w:p>
      <w:pPr>
        <w:pStyle w:val="Heading1"/>
      </w:pPr>
      <w:r>
        <w:t>10. Sponsorship, Volunteer and Hosted-Event Controls</w:t>
      </w:r>
    </w:p>
    <w:p>
      <w:pPr>
        <w:pStyle w:val="Heading2"/>
      </w:pPr>
      <w:r>
        <w:t>Sponsorship due diligence</w:t>
      </w:r>
    </w:p>
    <w:p>
      <w:pPr>
        <w:pStyle w:val="ListBullet"/>
        <w:spacing w:after="60"/>
      </w:pPr>
      <w:r>
        <w:t>Verify the legal organizer, benefits, exclusions, audience, payment terms, cancellation terms, insurance and deliverable dates.</w:t>
      </w:r>
    </w:p>
    <w:p>
      <w:pPr>
        <w:pStyle w:val="ListBullet"/>
        <w:spacing w:after="60"/>
      </w:pPr>
      <w:r>
        <w:t>Check conflicts with clients, public officials, competitors, political activity, restricted industries and project procurement.</w:t>
      </w:r>
    </w:p>
    <w:p>
      <w:pPr>
        <w:pStyle w:val="ListBullet"/>
        <w:spacing w:after="60"/>
      </w:pPr>
      <w:r>
        <w:t>Assign every contracted benefit, proof requirement and fulfillment owner.</w:t>
      </w:r>
    </w:p>
    <w:p>
      <w:pPr>
        <w:pStyle w:val="ListBullet"/>
        <w:spacing w:after="60"/>
      </w:pPr>
      <w:r>
        <w:t>Reconcile actual cost and value during the AAR; renewal is never automatic.</w:t>
      </w:r>
    </w:p>
    <w:p>
      <w:pPr>
        <w:pStyle w:val="Heading2"/>
      </w:pPr>
      <w:r>
        <w:t>Volunteer activation</w:t>
      </w:r>
    </w:p>
    <w:p>
      <w:pPr>
        <w:pStyle w:val="ListBullet"/>
        <w:spacing w:after="60"/>
      </w:pPr>
      <w:r>
        <w:t>Obtain written scope, supervisor, location, schedule and task restrictions.</w:t>
      </w:r>
    </w:p>
    <w:p>
      <w:pPr>
        <w:pStyle w:val="ListBullet"/>
        <w:spacing w:after="60"/>
      </w:pPr>
      <w:r>
        <w:t>Review workers compensation, general liability, auto, tools, PPE, food handling, youth/vulnerable-person contact and background-check requirements.</w:t>
      </w:r>
    </w:p>
    <w:p>
      <w:pPr>
        <w:pStyle w:val="ListBullet"/>
        <w:spacing w:after="60"/>
      </w:pPr>
      <w:r>
        <w:t>Use an attendance roster, incident process and volunteer-hours record.</w:t>
      </w:r>
    </w:p>
    <w:p>
      <w:pPr>
        <w:pStyle w:val="ListBullet"/>
        <w:spacing w:after="60"/>
      </w:pPr>
      <w:r>
        <w:t>Do not allow volunteer work to become unapproved construction, professional design or regulated work.</w:t>
      </w:r>
    </w:p>
    <w:p>
      <w:pPr>
        <w:pStyle w:val="Heading2"/>
      </w:pPr>
      <w:r>
        <w:t>MHC-hosted event</w:t>
      </w:r>
    </w:p>
    <w:p>
      <w:pPr>
        <w:pStyle w:val="ListBullet"/>
        <w:spacing w:after="60"/>
      </w:pPr>
      <w:r>
        <w:t>Issue a one-page event charter defining purpose, audience, owner, budget, success criteria and cancellation authority.</w:t>
      </w:r>
    </w:p>
    <w:p>
      <w:pPr>
        <w:pStyle w:val="ListBullet"/>
        <w:spacing w:after="60"/>
      </w:pPr>
      <w:r>
        <w:t>Approve venue, occupancy, permits, insurance, accessibility, security, parking, weather and emergency plan.</w:t>
      </w:r>
    </w:p>
    <w:p>
      <w:pPr>
        <w:pStyle w:val="ListBullet"/>
        <w:spacing w:after="60"/>
      </w:pPr>
      <w:r>
        <w:t>Control invitations, registration, privacy, photography, food, alcohol, speakers, sponsors and public-official participation.</w:t>
      </w:r>
    </w:p>
    <w:p>
      <w:pPr>
        <w:pStyle w:val="ListBullet"/>
        <w:spacing w:after="60"/>
      </w:pPr>
      <w:r>
        <w:t>Complete financial reconciliation, contact follow-up, media release and AAR before closeout.</w:t>
      </w:r>
    </w:p>
    <w:p>
      <w:pPr>
        <w:pStyle w:val="Heading1"/>
      </w:pPr>
      <w:r>
        <w:t>11. Marketing Flight and Sales Handoff</w:t>
      </w:r>
    </w:p>
    <w:p>
      <w:r>
        <w:t>Marketing Flight is the system of action for event opportunities, organizers, contacts, tasks, campaigns and attribution. The in-house server retains the final approved archive package. Contacts must be entered or synchronized within one business day and must carry source event, date, relationship owner, consent basis, next action and due date.</w:t>
      </w:r>
    </w:p>
    <w:p>
      <w:pPr>
        <w:pStyle w:val="Heading2"/>
      </w:pPr>
      <w:r>
        <w:t>Default handoff trigger</w:t>
      </w:r>
    </w:p>
    <w:p>
      <w:r>
        <w:t>Until the Owner approves a different threshold, Marketing transfers an event-generated opportunity to CHNAV/Sales when a contact identifies a specific project or procurement need, confirms decision timing and agrees to direct follow-up. Marketing retains attribution visibility while Sales controls the pursuit record.</w:t>
      </w:r>
    </w:p>
    <w:p>
      <w:pPr>
        <w:pStyle w:val="Heading1"/>
      </w:pPr>
      <w:r>
        <w:t>12. Media, Brand and Public Communication</w:t>
      </w:r>
    </w:p>
    <w:p>
      <w:pPr>
        <w:pStyle w:val="ListBullet"/>
        <w:spacing w:after="60"/>
      </w:pPr>
      <w:r>
        <w:t>Use the approved MH logo, colors, typography and veteran-owned language.</w:t>
      </w:r>
    </w:p>
    <w:p>
      <w:pPr>
        <w:pStyle w:val="ListBullet"/>
        <w:spacing w:after="60"/>
      </w:pPr>
      <w:r>
        <w:t>Obtain organizer and subject permissions before publication.</w:t>
      </w:r>
    </w:p>
    <w:p>
      <w:pPr>
        <w:pStyle w:val="ListBullet"/>
        <w:spacing w:after="60"/>
      </w:pPr>
      <w:r>
        <w:t>Verify licenses, awards, safety, capacity, project, client and community-impact claims against controlled evidence.</w:t>
      </w:r>
    </w:p>
    <w:p>
      <w:pPr>
        <w:pStyle w:val="ListBullet"/>
        <w:spacing w:after="60"/>
      </w:pPr>
      <w:r>
        <w:t>Do not publish live security, access, private attendee, youth, medical or proprietary information.</w:t>
      </w:r>
    </w:p>
    <w:p>
      <w:pPr>
        <w:pStyle w:val="ListBullet"/>
        <w:spacing w:after="60"/>
      </w:pPr>
      <w:r>
        <w:t>Route social posts, email blasts and event recaps through Marketing Flight approval and scheduling.</w:t>
      </w:r>
    </w:p>
    <w:p>
      <w:pPr>
        <w:pStyle w:val="ListBullet"/>
        <w:spacing w:after="60"/>
      </w:pPr>
      <w:r>
        <w:t>Archive final public assets and approval evidence on the in-house server.</w:t>
      </w:r>
    </w:p>
    <w:p>
      <w:pPr>
        <w:pStyle w:val="Heading1"/>
      </w:pPr>
      <w:r>
        <w:t>13. Performance and AAR</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Measure</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Definition</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BETA control</w:t>
            </w:r>
          </w:p>
        </w:tc>
      </w:tr>
      <w:tr>
        <w:tc>
          <w:tcPr>
            <w:tcW w:type="dxa" w:w="2088"/>
            <w:vAlign w:val="center"/>
          </w:tcPr>
          <w:p>
            <w:pPr>
              <w:spacing w:after="20"/>
            </w:pPr>
            <w:r/>
            <w:r>
              <w:rPr>
                <w:rFonts w:ascii="Mendl Sans Dusk Regular" w:hAnsi="Mendl Sans Dusk Regular" w:eastAsia="Mendl Sans Dusk Regular" w:cs="Mendl Sans Dusk Regular"/>
                <w:b w:val="0"/>
                <w:color w:val="202723"/>
                <w:sz w:val="16"/>
              </w:rPr>
              <w:t>Portfolio discipline</w:t>
            </w:r>
          </w:p>
        </w:tc>
        <w:tc>
          <w:tcPr>
            <w:tcW w:type="dxa" w:w="5400"/>
            <w:vAlign w:val="center"/>
          </w:tcPr>
          <w:p>
            <w:pPr>
              <w:spacing w:after="20"/>
            </w:pPr>
            <w:r/>
            <w:r>
              <w:rPr>
                <w:rFonts w:ascii="Mendl Sans Dusk Regular" w:hAnsi="Mendl Sans Dusk Regular" w:eastAsia="Mendl Sans Dusk Regular" w:cs="Mendl Sans Dusk Regular"/>
                <w:b w:val="0"/>
                <w:color w:val="202723"/>
                <w:sz w:val="16"/>
              </w:rPr>
              <w:t>Percent of activated events with approved scorecard and decision record</w:t>
            </w:r>
          </w:p>
        </w:tc>
        <w:tc>
          <w:tcPr>
            <w:tcW w:type="dxa" w:w="2160"/>
            <w:vAlign w:val="center"/>
          </w:tcPr>
          <w:p>
            <w:pPr>
              <w:spacing w:after="20"/>
            </w:pPr>
            <w:r/>
            <w:r>
              <w:rPr>
                <w:rFonts w:ascii="Mendl Sans Dusk Regular" w:hAnsi="Mendl Sans Dusk Regular" w:eastAsia="Mendl Sans Dusk Regular" w:cs="Mendl Sans Dusk Regular"/>
                <w:b w:val="0"/>
                <w:color w:val="202723"/>
                <w:sz w:val="16"/>
              </w:rPr>
              <w:t>100%</w:t>
            </w:r>
          </w:p>
        </w:tc>
      </w:tr>
      <w:tr>
        <w:tc>
          <w:tcPr>
            <w:tcW w:type="dxa" w:w="2088"/>
            <w:shd w:fill="EEF3F0"/>
            <w:vAlign w:val="center"/>
          </w:tcPr>
          <w:p>
            <w:pPr>
              <w:spacing w:after="20"/>
            </w:pPr>
            <w:r/>
            <w:r>
              <w:rPr>
                <w:rFonts w:ascii="Mendl Sans Dusk Regular" w:hAnsi="Mendl Sans Dusk Regular" w:eastAsia="Mendl Sans Dusk Regular" w:cs="Mendl Sans Dusk Regular"/>
                <w:b w:val="0"/>
                <w:color w:val="202723"/>
                <w:sz w:val="16"/>
              </w:rPr>
              <w:t>Relationship follow-through</w:t>
            </w:r>
          </w:p>
        </w:tc>
        <w:tc>
          <w:tcPr>
            <w:tcW w:type="dxa" w:w="5400"/>
            <w:shd w:fill="EEF3F0"/>
            <w:vAlign w:val="center"/>
          </w:tcPr>
          <w:p>
            <w:pPr>
              <w:spacing w:after="20"/>
            </w:pPr>
            <w:r/>
            <w:r>
              <w:rPr>
                <w:rFonts w:ascii="Mendl Sans Dusk Regular" w:hAnsi="Mendl Sans Dusk Regular" w:eastAsia="Mendl Sans Dusk Regular" w:cs="Mendl Sans Dusk Regular"/>
                <w:b w:val="0"/>
                <w:color w:val="202723"/>
                <w:sz w:val="16"/>
              </w:rPr>
              <w:t>Priority contacts with assigned next action within one business day</w:t>
            </w:r>
          </w:p>
        </w:tc>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95% or higher</w:t>
            </w:r>
          </w:p>
        </w:tc>
      </w:tr>
      <w:tr>
        <w:tc>
          <w:tcPr>
            <w:tcW w:type="dxa" w:w="2088"/>
            <w:vAlign w:val="center"/>
          </w:tcPr>
          <w:p>
            <w:pPr>
              <w:spacing w:after="20"/>
            </w:pPr>
            <w:r/>
            <w:r>
              <w:rPr>
                <w:rFonts w:ascii="Mendl Sans Dusk Regular" w:hAnsi="Mendl Sans Dusk Regular" w:eastAsia="Mendl Sans Dusk Regular" w:cs="Mendl Sans Dusk Regular"/>
                <w:b w:val="0"/>
                <w:color w:val="202723"/>
                <w:sz w:val="16"/>
              </w:rPr>
              <w:t>Commitment closure</w:t>
            </w:r>
          </w:p>
        </w:tc>
        <w:tc>
          <w:tcPr>
            <w:tcW w:type="dxa" w:w="5400"/>
            <w:vAlign w:val="center"/>
          </w:tcPr>
          <w:p>
            <w:pPr>
              <w:spacing w:after="20"/>
            </w:pPr>
            <w:r/>
            <w:r>
              <w:rPr>
                <w:rFonts w:ascii="Mendl Sans Dusk Regular" w:hAnsi="Mendl Sans Dusk Regular" w:eastAsia="Mendl Sans Dusk Regular" w:cs="Mendl Sans Dusk Regular"/>
                <w:b w:val="0"/>
                <w:color w:val="202723"/>
                <w:sz w:val="16"/>
              </w:rPr>
              <w:t>Promises, introductions and organizer deliverables closed by due date</w:t>
            </w:r>
          </w:p>
        </w:tc>
        <w:tc>
          <w:tcPr>
            <w:tcW w:type="dxa" w:w="2160"/>
            <w:vAlign w:val="center"/>
          </w:tcPr>
          <w:p>
            <w:pPr>
              <w:spacing w:after="20"/>
            </w:pPr>
            <w:r/>
            <w:r>
              <w:rPr>
                <w:rFonts w:ascii="Mendl Sans Dusk Regular" w:hAnsi="Mendl Sans Dusk Regular" w:eastAsia="Mendl Sans Dusk Regular" w:cs="Mendl Sans Dusk Regular"/>
                <w:b w:val="0"/>
                <w:color w:val="202723"/>
                <w:sz w:val="16"/>
              </w:rPr>
              <w:t>100%</w:t>
            </w:r>
          </w:p>
        </w:tc>
      </w:tr>
      <w:tr>
        <w:tc>
          <w:tcPr>
            <w:tcW w:type="dxa" w:w="2088"/>
            <w:shd w:fill="EEF3F0"/>
            <w:vAlign w:val="center"/>
          </w:tcPr>
          <w:p>
            <w:pPr>
              <w:spacing w:after="20"/>
            </w:pPr>
            <w:r/>
            <w:r>
              <w:rPr>
                <w:rFonts w:ascii="Mendl Sans Dusk Regular" w:hAnsi="Mendl Sans Dusk Regular" w:eastAsia="Mendl Sans Dusk Regular" w:cs="Mendl Sans Dusk Regular"/>
                <w:b w:val="0"/>
                <w:color w:val="202723"/>
                <w:sz w:val="16"/>
              </w:rPr>
              <w:t>Forecast validation</w:t>
            </w:r>
          </w:p>
        </w:tc>
        <w:tc>
          <w:tcPr>
            <w:tcW w:type="dxa" w:w="5400"/>
            <w:shd w:fill="EEF3F0"/>
            <w:vAlign w:val="center"/>
          </w:tcPr>
          <w:p>
            <w:pPr>
              <w:spacing w:after="20"/>
            </w:pPr>
            <w:r/>
            <w:r>
              <w:rPr>
                <w:rFonts w:ascii="Mendl Sans Dusk Regular" w:hAnsi="Mendl Sans Dusk Regular" w:eastAsia="Mendl Sans Dusk Regular" w:cs="Mendl Sans Dusk Regular"/>
                <w:b w:val="0"/>
                <w:color w:val="202723"/>
                <w:sz w:val="16"/>
              </w:rPr>
              <w:t>Forecast events revalidated before commitment</w:t>
            </w:r>
          </w:p>
        </w:tc>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100%</w:t>
            </w:r>
          </w:p>
        </w:tc>
      </w:tr>
      <w:tr>
        <w:tc>
          <w:tcPr>
            <w:tcW w:type="dxa" w:w="2088"/>
            <w:vAlign w:val="center"/>
          </w:tcPr>
          <w:p>
            <w:pPr>
              <w:spacing w:after="20"/>
            </w:pPr>
            <w:r/>
            <w:r>
              <w:rPr>
                <w:rFonts w:ascii="Mendl Sans Dusk Regular" w:hAnsi="Mendl Sans Dusk Regular" w:eastAsia="Mendl Sans Dusk Regular" w:cs="Mendl Sans Dusk Regular"/>
                <w:b w:val="0"/>
                <w:color w:val="202723"/>
                <w:sz w:val="16"/>
              </w:rPr>
              <w:t>Community contribution</w:t>
            </w:r>
          </w:p>
        </w:tc>
        <w:tc>
          <w:tcPr>
            <w:tcW w:type="dxa" w:w="5400"/>
            <w:vAlign w:val="center"/>
          </w:tcPr>
          <w:p>
            <w:pPr>
              <w:spacing w:after="20"/>
            </w:pPr>
            <w:r/>
            <w:r>
              <w:rPr>
                <w:rFonts w:ascii="Mendl Sans Dusk Regular" w:hAnsi="Mendl Sans Dusk Regular" w:eastAsia="Mendl Sans Dusk Regular" w:cs="Mendl Sans Dusk Regular"/>
                <w:b w:val="0"/>
                <w:color w:val="202723"/>
                <w:sz w:val="16"/>
              </w:rPr>
              <w:t>Volunteer hours, in-kind support and hosted-event benefit</w:t>
            </w:r>
          </w:p>
        </w:tc>
        <w:tc>
          <w:tcPr>
            <w:tcW w:type="dxa" w:w="2160"/>
            <w:vAlign w:val="center"/>
          </w:tcPr>
          <w:p>
            <w:pPr>
              <w:spacing w:after="20"/>
            </w:pPr>
            <w:r/>
            <w:r>
              <w:rPr>
                <w:rFonts w:ascii="Mendl Sans Dusk Regular" w:hAnsi="Mendl Sans Dusk Regular" w:eastAsia="Mendl Sans Dusk Regular" w:cs="Mendl Sans Dusk Regular"/>
                <w:b w:val="0"/>
                <w:color w:val="202723"/>
                <w:sz w:val="16"/>
              </w:rPr>
              <w:t>Report actuals; target set annually</w:t>
            </w:r>
          </w:p>
        </w:tc>
      </w:tr>
      <w:tr>
        <w:tc>
          <w:tcPr>
            <w:tcW w:type="dxa" w:w="2088"/>
            <w:shd w:fill="EEF3F0"/>
            <w:vAlign w:val="center"/>
          </w:tcPr>
          <w:p>
            <w:pPr>
              <w:spacing w:after="20"/>
            </w:pPr>
            <w:r/>
            <w:r>
              <w:rPr>
                <w:rFonts w:ascii="Mendl Sans Dusk Regular" w:hAnsi="Mendl Sans Dusk Regular" w:eastAsia="Mendl Sans Dusk Regular" w:cs="Mendl Sans Dusk Regular"/>
                <w:b w:val="0"/>
                <w:color w:val="202723"/>
                <w:sz w:val="16"/>
              </w:rPr>
              <w:t>Qualified opportunity value</w:t>
            </w:r>
          </w:p>
        </w:tc>
        <w:tc>
          <w:tcPr>
            <w:tcW w:type="dxa" w:w="5400"/>
            <w:shd w:fill="EEF3F0"/>
            <w:vAlign w:val="center"/>
          </w:tcPr>
          <w:p>
            <w:pPr>
              <w:spacing w:after="20"/>
            </w:pPr>
            <w:r/>
            <w:r>
              <w:rPr>
                <w:rFonts w:ascii="Mendl Sans Dusk Regular" w:hAnsi="Mendl Sans Dusk Regular" w:eastAsia="Mendl Sans Dusk Regular" w:cs="Mendl Sans Dusk Regular"/>
                <w:b w:val="0"/>
                <w:color w:val="202723"/>
                <w:sz w:val="16"/>
              </w:rPr>
              <w:t>Marketing Flight opportunities attributable to events and accepted by Sales</w:t>
            </w:r>
          </w:p>
        </w:tc>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Report count, value and conversion</w:t>
            </w:r>
          </w:p>
        </w:tc>
      </w:tr>
      <w:tr>
        <w:tc>
          <w:tcPr>
            <w:tcW w:type="dxa" w:w="2088"/>
            <w:vAlign w:val="center"/>
          </w:tcPr>
          <w:p>
            <w:pPr>
              <w:spacing w:after="20"/>
            </w:pPr>
            <w:r/>
            <w:r>
              <w:rPr>
                <w:rFonts w:ascii="Mendl Sans Dusk Regular" w:hAnsi="Mendl Sans Dusk Regular" w:eastAsia="Mendl Sans Dusk Regular" w:cs="Mendl Sans Dusk Regular"/>
                <w:b w:val="0"/>
                <w:color w:val="202723"/>
                <w:sz w:val="16"/>
              </w:rPr>
              <w:t>Sponsorship fulfillment</w:t>
            </w:r>
          </w:p>
        </w:tc>
        <w:tc>
          <w:tcPr>
            <w:tcW w:type="dxa" w:w="5400"/>
            <w:vAlign w:val="center"/>
          </w:tcPr>
          <w:p>
            <w:pPr>
              <w:spacing w:after="20"/>
            </w:pPr>
            <w:r/>
            <w:r>
              <w:rPr>
                <w:rFonts w:ascii="Mendl Sans Dusk Regular" w:hAnsi="Mendl Sans Dusk Regular" w:eastAsia="Mendl Sans Dusk Regular" w:cs="Mendl Sans Dusk Regular"/>
                <w:b w:val="0"/>
                <w:color w:val="202723"/>
                <w:sz w:val="16"/>
              </w:rPr>
              <w:t>Contracted benefits received and documented</w:t>
            </w:r>
          </w:p>
        </w:tc>
        <w:tc>
          <w:tcPr>
            <w:tcW w:type="dxa" w:w="2160"/>
            <w:vAlign w:val="center"/>
          </w:tcPr>
          <w:p>
            <w:pPr>
              <w:spacing w:after="20"/>
            </w:pPr>
            <w:r/>
            <w:r>
              <w:rPr>
                <w:rFonts w:ascii="Mendl Sans Dusk Regular" w:hAnsi="Mendl Sans Dusk Regular" w:eastAsia="Mendl Sans Dusk Regular" w:cs="Mendl Sans Dusk Regular"/>
                <w:b w:val="0"/>
                <w:color w:val="202723"/>
                <w:sz w:val="16"/>
              </w:rPr>
              <w:t>100% or exception logged</w:t>
            </w:r>
          </w:p>
        </w:tc>
      </w:tr>
      <w:tr>
        <w:tc>
          <w:tcPr>
            <w:tcW w:type="dxa" w:w="2088"/>
            <w:shd w:fill="EEF3F0"/>
            <w:vAlign w:val="center"/>
          </w:tcPr>
          <w:p>
            <w:pPr>
              <w:spacing w:after="20"/>
            </w:pPr>
            <w:r/>
            <w:r>
              <w:rPr>
                <w:rFonts w:ascii="Mendl Sans Dusk Regular" w:hAnsi="Mendl Sans Dusk Regular" w:eastAsia="Mendl Sans Dusk Regular" w:cs="Mendl Sans Dusk Regular"/>
                <w:b w:val="0"/>
                <w:color w:val="202723"/>
                <w:sz w:val="16"/>
              </w:rPr>
              <w:t>Brand and compliance</w:t>
            </w:r>
          </w:p>
        </w:tc>
        <w:tc>
          <w:tcPr>
            <w:tcW w:type="dxa" w:w="5400"/>
            <w:shd w:fill="EEF3F0"/>
            <w:vAlign w:val="center"/>
          </w:tcPr>
          <w:p>
            <w:pPr>
              <w:spacing w:after="20"/>
            </w:pPr>
            <w:r/>
            <w:r>
              <w:rPr>
                <w:rFonts w:ascii="Mendl Sans Dusk Regular" w:hAnsi="Mendl Sans Dusk Regular" w:eastAsia="Mendl Sans Dusk Regular" w:cs="Mendl Sans Dusk Regular"/>
                <w:b w:val="0"/>
                <w:color w:val="202723"/>
                <w:sz w:val="16"/>
              </w:rPr>
              <w:t>Unauthorized claims, posts, gifts, political activity or privacy violations</w:t>
            </w:r>
          </w:p>
        </w:tc>
        <w:tc>
          <w:tcPr>
            <w:tcW w:type="dxa" w:w="2160"/>
            <w:shd w:fill="EEF3F0"/>
            <w:vAlign w:val="center"/>
          </w:tcPr>
          <w:p>
            <w:pPr>
              <w:spacing w:after="20"/>
            </w:pPr>
            <w:r/>
            <w:r>
              <w:rPr>
                <w:rFonts w:ascii="Mendl Sans Dusk Regular" w:hAnsi="Mendl Sans Dusk Regular" w:eastAsia="Mendl Sans Dusk Regular" w:cs="Mendl Sans Dusk Regular"/>
                <w:b w:val="0"/>
                <w:color w:val="202723"/>
                <w:sz w:val="16"/>
              </w:rPr>
              <w:t>Zero</w:t>
            </w:r>
          </w:p>
        </w:tc>
      </w:tr>
      <w:tr>
        <w:tc>
          <w:tcPr>
            <w:tcW w:type="dxa" w:w="2088"/>
            <w:vAlign w:val="center"/>
          </w:tcPr>
          <w:p>
            <w:pPr>
              <w:spacing w:after="20"/>
            </w:pPr>
            <w:r/>
            <w:r>
              <w:rPr>
                <w:rFonts w:ascii="Mendl Sans Dusk Regular" w:hAnsi="Mendl Sans Dusk Regular" w:eastAsia="Mendl Sans Dusk Regular" w:cs="Mendl Sans Dusk Regular"/>
                <w:b w:val="0"/>
                <w:color w:val="202723"/>
                <w:sz w:val="16"/>
              </w:rPr>
              <w:t>Portfolio learning</w:t>
            </w:r>
          </w:p>
        </w:tc>
        <w:tc>
          <w:tcPr>
            <w:tcW w:type="dxa" w:w="5400"/>
            <w:vAlign w:val="center"/>
          </w:tcPr>
          <w:p>
            <w:pPr>
              <w:spacing w:after="20"/>
            </w:pPr>
            <w:r/>
            <w:r>
              <w:rPr>
                <w:rFonts w:ascii="Mendl Sans Dusk Regular" w:hAnsi="Mendl Sans Dusk Regular" w:eastAsia="Mendl Sans Dusk Regular" w:cs="Mendl Sans Dusk Regular"/>
                <w:b w:val="0"/>
                <w:color w:val="202723"/>
                <w:sz w:val="16"/>
              </w:rPr>
              <w:t>Activated events receiving an AAR and next-year recommendation</w:t>
            </w:r>
          </w:p>
        </w:tc>
        <w:tc>
          <w:tcPr>
            <w:tcW w:type="dxa" w:w="2160"/>
            <w:vAlign w:val="center"/>
          </w:tcPr>
          <w:p>
            <w:pPr>
              <w:spacing w:after="20"/>
            </w:pPr>
            <w:r/>
            <w:r>
              <w:rPr>
                <w:rFonts w:ascii="Mendl Sans Dusk Regular" w:hAnsi="Mendl Sans Dusk Regular" w:eastAsia="Mendl Sans Dusk Regular" w:cs="Mendl Sans Dusk Regular"/>
                <w:b w:val="0"/>
                <w:color w:val="202723"/>
                <w:sz w:val="16"/>
              </w:rPr>
              <w:t>100%</w:t>
            </w:r>
          </w:p>
        </w:tc>
      </w:tr>
    </w:tbl>
    <w:p/>
    <w:p>
      <w:pPr>
        <w:pStyle w:val="Heading2"/>
      </w:pPr>
      <w:r>
        <w:t>Combined 2027 program score</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Score element</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Points</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Evidence</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Strategic chamber progress</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25</w:t>
            </w:r>
          </w:p>
        </w:tc>
        <w:tc>
          <w:tcPr>
            <w:tcW w:type="dxa" w:w="5832"/>
            <w:vAlign w:val="center"/>
          </w:tcPr>
          <w:p>
            <w:pPr>
              <w:spacing w:after="20"/>
            </w:pPr>
            <w:r/>
            <w:r>
              <w:rPr>
                <w:rFonts w:ascii="Mendl Sans Dusk Regular" w:hAnsi="Mendl Sans Dusk Regular" w:eastAsia="Mendl Sans Dusk Regular" w:cs="Mendl Sans Dusk Regular"/>
                <w:b w:val="0"/>
                <w:color w:val="202723"/>
                <w:sz w:val="16"/>
              </w:rPr>
              <w:t>Board/committee progress, relationship plan execution and target-market access.</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Relationship and follow-through</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20</w:t>
            </w:r>
          </w:p>
        </w:tc>
        <w:tc>
          <w:tcPr>
            <w:tcW w:type="dxa" w:w="5832"/>
            <w:shd w:fill="EEF3F0"/>
            <w:vAlign w:val="center"/>
          </w:tcPr>
          <w:p>
            <w:pPr>
              <w:spacing w:after="20"/>
            </w:pPr>
            <w:r/>
            <w:r>
              <w:rPr>
                <w:rFonts w:ascii="Mendl Sans Dusk Regular" w:hAnsi="Mendl Sans Dusk Regular" w:eastAsia="Mendl Sans Dusk Regular" w:cs="Mendl Sans Dusk Regular"/>
                <w:b w:val="0"/>
                <w:color w:val="202723"/>
                <w:sz w:val="16"/>
              </w:rPr>
              <w:t>Priority contacts, completed commitments, next actions and Sales handoffs.</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Community and veteran value</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20</w:t>
            </w:r>
          </w:p>
        </w:tc>
        <w:tc>
          <w:tcPr>
            <w:tcW w:type="dxa" w:w="5832"/>
            <w:vAlign w:val="center"/>
          </w:tcPr>
          <w:p>
            <w:pPr>
              <w:spacing w:after="20"/>
            </w:pPr>
            <w:r/>
            <w:r>
              <w:rPr>
                <w:rFonts w:ascii="Mendl Sans Dusk Regular" w:hAnsi="Mendl Sans Dusk Regular" w:eastAsia="Mendl Sans Dusk Regular" w:cs="Mendl Sans Dusk Regular"/>
                <w:b w:val="0"/>
                <w:color w:val="202723"/>
                <w:sz w:val="16"/>
              </w:rPr>
              <w:t>Volunteer hours, in-kind benefit, organizer outcomes and veteran/community contribution.</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Qualified pipeline contribution</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15</w:t>
            </w:r>
          </w:p>
        </w:tc>
        <w:tc>
          <w:tcPr>
            <w:tcW w:type="dxa" w:w="5832"/>
            <w:shd w:fill="EEF3F0"/>
            <w:vAlign w:val="center"/>
          </w:tcPr>
          <w:p>
            <w:pPr>
              <w:spacing w:after="20"/>
            </w:pPr>
            <w:r/>
            <w:r>
              <w:rPr>
                <w:rFonts w:ascii="Mendl Sans Dusk Regular" w:hAnsi="Mendl Sans Dusk Regular" w:eastAsia="Mendl Sans Dusk Regular" w:cs="Mendl Sans Dusk Regular"/>
                <w:b w:val="0"/>
                <w:color w:val="202723"/>
                <w:sz w:val="16"/>
              </w:rPr>
              <w:t>Accepted Marketing Flight opportunities, estimated value and conversion evidence.</w:t>
            </w:r>
          </w:p>
        </w:tc>
      </w:tr>
      <w:tr>
        <w:tc>
          <w:tcPr>
            <w:tcW w:type="dxa" w:w="2880"/>
            <w:vAlign w:val="center"/>
          </w:tcPr>
          <w:p>
            <w:pPr>
              <w:spacing w:after="20"/>
            </w:pPr>
            <w:r/>
            <w:r>
              <w:rPr>
                <w:rFonts w:ascii="Mendl Sans Dusk Regular" w:hAnsi="Mendl Sans Dusk Regular" w:eastAsia="Mendl Sans Dusk Regular" w:cs="Mendl Sans Dusk Regular"/>
                <w:b w:val="0"/>
                <w:color w:val="202723"/>
                <w:sz w:val="16"/>
              </w:rPr>
              <w:t>Execution and brand control</w:t>
            </w:r>
          </w:p>
        </w:tc>
        <w:tc>
          <w:tcPr>
            <w:tcW w:type="dxa" w:w="936"/>
            <w:vAlign w:val="center"/>
          </w:tcPr>
          <w:p>
            <w:pPr>
              <w:spacing w:after="20"/>
            </w:pPr>
            <w:r/>
            <w:r>
              <w:rPr>
                <w:rFonts w:ascii="Mendl Sans Dusk Regular" w:hAnsi="Mendl Sans Dusk Regular" w:eastAsia="Mendl Sans Dusk Regular" w:cs="Mendl Sans Dusk Regular"/>
                <w:b w:val="0"/>
                <w:color w:val="202723"/>
                <w:sz w:val="16"/>
              </w:rPr>
              <w:t>10</w:t>
            </w:r>
          </w:p>
        </w:tc>
        <w:tc>
          <w:tcPr>
            <w:tcW w:type="dxa" w:w="5832"/>
            <w:vAlign w:val="center"/>
          </w:tcPr>
          <w:p>
            <w:pPr>
              <w:spacing w:after="20"/>
            </w:pPr>
            <w:r/>
            <w:r>
              <w:rPr>
                <w:rFonts w:ascii="Mendl Sans Dusk Regular" w:hAnsi="Mendl Sans Dusk Regular" w:eastAsia="Mendl Sans Dusk Regular" w:cs="Mendl Sans Dusk Regular"/>
                <w:b w:val="0"/>
                <w:color w:val="202723"/>
                <w:sz w:val="16"/>
              </w:rPr>
              <w:t>Briefings, attendance, sponsor fulfillment, AARs and zero critical violations.</w:t>
            </w:r>
          </w:p>
        </w:tc>
      </w:tr>
      <w:tr>
        <w:tc>
          <w:tcPr>
            <w:tcW w:type="dxa" w:w="2880"/>
            <w:shd w:fill="EEF3F0"/>
            <w:vAlign w:val="center"/>
          </w:tcPr>
          <w:p>
            <w:pPr>
              <w:spacing w:after="20"/>
            </w:pPr>
            <w:r/>
            <w:r>
              <w:rPr>
                <w:rFonts w:ascii="Mendl Sans Dusk Regular" w:hAnsi="Mendl Sans Dusk Regular" w:eastAsia="Mendl Sans Dusk Regular" w:cs="Mendl Sans Dusk Regular"/>
                <w:b w:val="0"/>
                <w:color w:val="202723"/>
                <w:sz w:val="16"/>
              </w:rPr>
              <w:t>Financial stewardship</w:t>
            </w:r>
          </w:p>
        </w:tc>
        <w:tc>
          <w:tcPr>
            <w:tcW w:type="dxa" w:w="936"/>
            <w:shd w:fill="EEF3F0"/>
            <w:vAlign w:val="center"/>
          </w:tcPr>
          <w:p>
            <w:pPr>
              <w:spacing w:after="20"/>
            </w:pPr>
            <w:r/>
            <w:r>
              <w:rPr>
                <w:rFonts w:ascii="Mendl Sans Dusk Regular" w:hAnsi="Mendl Sans Dusk Regular" w:eastAsia="Mendl Sans Dusk Regular" w:cs="Mendl Sans Dusk Regular"/>
                <w:b w:val="0"/>
                <w:color w:val="202723"/>
                <w:sz w:val="16"/>
              </w:rPr>
              <w:t>10</w:t>
            </w:r>
          </w:p>
        </w:tc>
        <w:tc>
          <w:tcPr>
            <w:tcW w:type="dxa" w:w="5832"/>
            <w:shd w:fill="EEF3F0"/>
            <w:vAlign w:val="center"/>
          </w:tcPr>
          <w:p>
            <w:pPr>
              <w:spacing w:after="20"/>
            </w:pPr>
            <w:r/>
            <w:r>
              <w:rPr>
                <w:rFonts w:ascii="Mendl Sans Dusk Regular" w:hAnsi="Mendl Sans Dusk Regular" w:eastAsia="Mendl Sans Dusk Regular" w:cs="Mendl Sans Dusk Regular"/>
                <w:b w:val="0"/>
                <w:color w:val="202723"/>
                <w:sz w:val="16"/>
              </w:rPr>
              <w:t>Budget variance, sponsor leverage, cost per qualified relationship and documented value.</w:t>
            </w:r>
          </w:p>
        </w:tc>
      </w:tr>
    </w:tbl>
    <w:p/>
    <w:p>
      <w:r>
        <w:t>The year-end score governs 2028 disposition: 80-100 expands the program; 70-79 authorizes controlled expansion; 60-69 holds scale and requires a corrective plan; below 60 contracts or stops the program. Any critical legal, safety, ethics, privacy or financial-control violation prevents expansion regardless of the numeric score.</w:t>
      </w:r>
    </w:p>
    <w:p>
      <w:pPr>
        <w:pStyle w:val="Heading1"/>
      </w:pPr>
      <w:r>
        <w:t>14. Required Forms and Records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Record ID</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Required record</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Primary system</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MKT-FRM-010</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Event opportunity and validation record</w:t>
            </w:r>
          </w:p>
        </w:tc>
        <w:tc>
          <w:tcPr>
            <w:tcW w:type="dxa" w:w="3096"/>
            <w:vAlign w:val="center"/>
          </w:tcPr>
          <w:p>
            <w:pPr>
              <w:spacing w:after="20"/>
            </w:pPr>
            <w:r/>
            <w:r>
              <w:rPr>
                <w:rFonts w:ascii="Mendl Sans Dusk Regular" w:hAnsi="Mendl Sans Dusk Regular" w:eastAsia="Mendl Sans Dusk Regular" w:cs="Mendl Sans Dusk Regular"/>
                <w:b w:val="0"/>
                <w:color w:val="202723"/>
                <w:sz w:val="16"/>
              </w:rPr>
              <w:t>Marketing Flight</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MKT-FRM-011</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Event scorecard and decision record</w:t>
            </w:r>
          </w:p>
        </w:tc>
        <w:tc>
          <w:tcPr>
            <w:tcW w:type="dxa" w:w="3096"/>
            <w:shd w:fill="EEF3F0"/>
            <w:vAlign w:val="center"/>
          </w:tcPr>
          <w:p>
            <w:pPr>
              <w:spacing w:after="20"/>
            </w:pPr>
            <w:r/>
            <w:r>
              <w:rPr>
                <w:rFonts w:ascii="Mendl Sans Dusk Regular" w:hAnsi="Mendl Sans Dusk Regular" w:eastAsia="Mendl Sans Dusk Regular" w:cs="Mendl Sans Dusk Regular"/>
                <w:b w:val="0"/>
                <w:color w:val="202723"/>
                <w:sz w:val="16"/>
              </w:rPr>
              <w:t>Marketing Flight; approved PDF to server</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MKT-FRM-012</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Event briefing sheet</w:t>
            </w:r>
          </w:p>
        </w:tc>
        <w:tc>
          <w:tcPr>
            <w:tcW w:type="dxa" w:w="3096"/>
            <w:vAlign w:val="center"/>
          </w:tcPr>
          <w:p>
            <w:pPr>
              <w:spacing w:after="20"/>
            </w:pPr>
            <w:r/>
            <w:r>
              <w:rPr>
                <w:rFonts w:ascii="Mendl Sans Dusk Regular" w:hAnsi="Mendl Sans Dusk Regular" w:eastAsia="Mendl Sans Dusk Regular" w:cs="Mendl Sans Dusk Regular"/>
                <w:b w:val="0"/>
                <w:color w:val="202723"/>
                <w:sz w:val="16"/>
              </w:rPr>
              <w:t>Marketing Flight / Field Command Center as applicable</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MKT-FRM-013</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Event contact and commitment log</w:t>
            </w:r>
          </w:p>
        </w:tc>
        <w:tc>
          <w:tcPr>
            <w:tcW w:type="dxa" w:w="3096"/>
            <w:shd w:fill="EEF3F0"/>
            <w:vAlign w:val="center"/>
          </w:tcPr>
          <w:p>
            <w:pPr>
              <w:spacing w:after="20"/>
            </w:pPr>
            <w:r/>
            <w:r>
              <w:rPr>
                <w:rFonts w:ascii="Mendl Sans Dusk Regular" w:hAnsi="Mendl Sans Dusk Regular" w:eastAsia="Mendl Sans Dusk Regular" w:cs="Mendl Sans Dusk Regular"/>
                <w:b w:val="0"/>
                <w:color w:val="202723"/>
                <w:sz w:val="16"/>
              </w:rPr>
              <w:t>Marketing Flight</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MKT-FRM-014</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Sponsorship benefits and fulfillment tracker</w:t>
            </w:r>
          </w:p>
        </w:tc>
        <w:tc>
          <w:tcPr>
            <w:tcW w:type="dxa" w:w="3096"/>
            <w:vAlign w:val="center"/>
          </w:tcPr>
          <w:p>
            <w:pPr>
              <w:spacing w:after="20"/>
            </w:pPr>
            <w:r/>
            <w:r>
              <w:rPr>
                <w:rFonts w:ascii="Mendl Sans Dusk Regular" w:hAnsi="Mendl Sans Dusk Regular" w:eastAsia="Mendl Sans Dusk Regular" w:cs="Mendl Sans Dusk Regular"/>
                <w:b w:val="0"/>
                <w:color w:val="202723"/>
                <w:sz w:val="16"/>
              </w:rPr>
              <w:t>Marketing Flight / Finance record</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MKT-FRM-015</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Volunteer activation plan and roster</w:t>
            </w:r>
          </w:p>
        </w:tc>
        <w:tc>
          <w:tcPr>
            <w:tcW w:type="dxa" w:w="3096"/>
            <w:shd w:fill="EEF3F0"/>
            <w:vAlign w:val="center"/>
          </w:tcPr>
          <w:p>
            <w:pPr>
              <w:spacing w:after="20"/>
            </w:pPr>
            <w:r/>
            <w:r>
              <w:rPr>
                <w:rFonts w:ascii="Mendl Sans Dusk Regular" w:hAnsi="Mendl Sans Dusk Regular" w:eastAsia="Mendl Sans Dusk Regular" w:cs="Mendl Sans Dusk Regular"/>
                <w:b w:val="0"/>
                <w:color w:val="202723"/>
                <w:sz w:val="16"/>
              </w:rPr>
              <w:t>Marketing Flight / Safety record</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MKT-FRM-016</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Hosted-event charter and risk review</w:t>
            </w:r>
          </w:p>
        </w:tc>
        <w:tc>
          <w:tcPr>
            <w:tcW w:type="dxa" w:w="3096"/>
            <w:vAlign w:val="center"/>
          </w:tcPr>
          <w:p>
            <w:pPr>
              <w:spacing w:after="20"/>
            </w:pPr>
            <w:r/>
            <w:r>
              <w:rPr>
                <w:rFonts w:ascii="Mendl Sans Dusk Regular" w:hAnsi="Mendl Sans Dusk Regular" w:eastAsia="Mendl Sans Dusk Regular" w:cs="Mendl Sans Dusk Regular"/>
                <w:b w:val="0"/>
                <w:color w:val="202723"/>
                <w:sz w:val="16"/>
              </w:rPr>
              <w:t>Marketing Flight; approved PDF to server</w:t>
            </w:r>
          </w:p>
        </w:tc>
      </w:tr>
      <w:tr>
        <w:tc>
          <w:tcPr>
            <w:tcW w:type="dxa" w:w="1440"/>
            <w:shd w:fill="EEF3F0"/>
            <w:vAlign w:val="center"/>
          </w:tcPr>
          <w:p>
            <w:pPr>
              <w:spacing w:after="20"/>
            </w:pPr>
            <w:r/>
            <w:r>
              <w:rPr>
                <w:rFonts w:ascii="Mendl Sans Dusk Regular" w:hAnsi="Mendl Sans Dusk Regular" w:eastAsia="Mendl Sans Dusk Regular" w:cs="Mendl Sans Dusk Regular"/>
                <w:b w:val="0"/>
                <w:color w:val="202723"/>
                <w:sz w:val="16"/>
              </w:rPr>
              <w:t>MKT-FRM-017</w:t>
            </w:r>
          </w:p>
        </w:tc>
        <w:tc>
          <w:tcPr>
            <w:tcW w:type="dxa" w:w="5112"/>
            <w:shd w:fill="EEF3F0"/>
            <w:vAlign w:val="center"/>
          </w:tcPr>
          <w:p>
            <w:pPr>
              <w:spacing w:after="20"/>
            </w:pPr>
            <w:r/>
            <w:r>
              <w:rPr>
                <w:rFonts w:ascii="Mendl Sans Dusk Regular" w:hAnsi="Mendl Sans Dusk Regular" w:eastAsia="Mendl Sans Dusk Regular" w:cs="Mendl Sans Dusk Regular"/>
                <w:b w:val="0"/>
                <w:color w:val="202723"/>
                <w:sz w:val="16"/>
              </w:rPr>
              <w:t>Event After Action Review</w:t>
            </w:r>
          </w:p>
        </w:tc>
        <w:tc>
          <w:tcPr>
            <w:tcW w:type="dxa" w:w="3096"/>
            <w:shd w:fill="EEF3F0"/>
            <w:vAlign w:val="center"/>
          </w:tcPr>
          <w:p>
            <w:pPr>
              <w:spacing w:after="20"/>
            </w:pPr>
            <w:r/>
            <w:r>
              <w:rPr>
                <w:rFonts w:ascii="Mendl Sans Dusk Regular" w:hAnsi="Mendl Sans Dusk Regular" w:eastAsia="Mendl Sans Dusk Regular" w:cs="Mendl Sans Dusk Regular"/>
                <w:b w:val="0"/>
                <w:color w:val="202723"/>
                <w:sz w:val="16"/>
              </w:rPr>
              <w:t>Marketing Flight; final PDF to server</w:t>
            </w:r>
          </w:p>
        </w:tc>
      </w:tr>
      <w:tr>
        <w:tc>
          <w:tcPr>
            <w:tcW w:type="dxa" w:w="1440"/>
            <w:vAlign w:val="center"/>
          </w:tcPr>
          <w:p>
            <w:pPr>
              <w:spacing w:after="20"/>
            </w:pPr>
            <w:r/>
            <w:r>
              <w:rPr>
                <w:rFonts w:ascii="Mendl Sans Dusk Regular" w:hAnsi="Mendl Sans Dusk Regular" w:eastAsia="Mendl Sans Dusk Regular" w:cs="Mendl Sans Dusk Regular"/>
                <w:b w:val="0"/>
                <w:color w:val="202723"/>
                <w:sz w:val="16"/>
              </w:rPr>
              <w:t>MKT-FRM-018</w:t>
            </w:r>
          </w:p>
        </w:tc>
        <w:tc>
          <w:tcPr>
            <w:tcW w:type="dxa" w:w="5112"/>
            <w:vAlign w:val="center"/>
          </w:tcPr>
          <w:p>
            <w:pPr>
              <w:spacing w:after="20"/>
            </w:pPr>
            <w:r/>
            <w:r>
              <w:rPr>
                <w:rFonts w:ascii="Mendl Sans Dusk Regular" w:hAnsi="Mendl Sans Dusk Regular" w:eastAsia="Mendl Sans Dusk Regular" w:cs="Mendl Sans Dusk Regular"/>
                <w:b w:val="0"/>
                <w:color w:val="202723"/>
                <w:sz w:val="16"/>
              </w:rPr>
              <w:t>Annual outreach portfolio and budget register</w:t>
            </w:r>
          </w:p>
        </w:tc>
        <w:tc>
          <w:tcPr>
            <w:tcW w:type="dxa" w:w="3096"/>
            <w:vAlign w:val="center"/>
          </w:tcPr>
          <w:p>
            <w:pPr>
              <w:spacing w:after="20"/>
            </w:pPr>
            <w:r/>
            <w:r>
              <w:rPr>
                <w:rFonts w:ascii="Mendl Sans Dusk Regular" w:hAnsi="Mendl Sans Dusk Regular" w:eastAsia="Mendl Sans Dusk Regular" w:cs="Mendl Sans Dusk Regular"/>
                <w:b w:val="0"/>
                <w:color w:val="202723"/>
                <w:sz w:val="16"/>
              </w:rPr>
              <w:t>Marketing Flight / Sage 100 reference</w:t>
            </w:r>
          </w:p>
        </w:tc>
      </w:tr>
    </w:tbl>
    <w:p/>
    <w:p>
      <w:pPr>
        <w:pStyle w:val="Heading1"/>
      </w:pPr>
      <w:r>
        <w:t>15. Approved Direction Register</w:t>
      </w:r>
    </w:p>
    <w:p>
      <w:r>
        <w:t>The Owner direction below closes the program-level gaps for target hierarchy, executive participation, investment, hosted-event funding and the 2028 scale decision. Event-specific dates, prices, sponsor inventory and risks remain subject to validation before commitment.</w:t>
      </w:r>
    </w:p>
    <w:tbl>
      <w:tblPr>
        <w:tblW w:type="auto" w:w="0"/>
        <w:tblLayout w:type="fixed"/>
        <w:tblLook w:firstColumn="1" w:firstRow="1" w:lastColumn="0" w:lastRow="0" w:noHBand="0" w:noVBand="1" w:val="04A0"/>
      </w:tblPr>
      <w:tblGrid>
        <w:gridCol w:w="4939"/>
        <w:gridCol w:w="4939"/>
      </w:tblGrid>
      <w:tr>
        <w:trPr>
          <w:tblHeader w:val="true"/>
        </w:trPr>
        <w:tc>
          <w:tcPr>
            <w:tcW w:type="dxa" w:w="4939"/>
            <w:shd w:fill="386851"/>
            <w:vAlign w:val="center"/>
          </w:tcPr>
          <w:p>
            <w:pPr>
              <w:spacing w:after="20"/>
            </w:pPr>
            <w:r/>
            <w:r>
              <w:rPr>
                <w:rFonts w:ascii="Mendl Sans Dusk Medium" w:hAnsi="Mendl Sans Dusk Medium" w:eastAsia="Mendl Sans Dusk Medium" w:cs="Mendl Sans Dusk Medium"/>
                <w:b/>
                <w:color w:val="FFFFFF"/>
                <w:sz w:val="16"/>
              </w:rPr>
              <w:t>Decision</w:t>
            </w:r>
          </w:p>
        </w:tc>
        <w:tc>
          <w:tcPr>
            <w:tcW w:type="dxa" w:w="4939"/>
            <w:shd w:fill="386851"/>
            <w:vAlign w:val="center"/>
          </w:tcPr>
          <w:p>
            <w:pPr>
              <w:spacing w:after="20"/>
            </w:pPr>
            <w:r/>
            <w:r>
              <w:rPr>
                <w:rFonts w:ascii="Mendl Sans Dusk Medium" w:hAnsi="Mendl Sans Dusk Medium" w:eastAsia="Mendl Sans Dusk Medium" w:cs="Mendl Sans Dusk Medium"/>
                <w:b/>
                <w:color w:val="FFFFFF"/>
                <w:sz w:val="16"/>
              </w:rPr>
              <w:t>Approved direction</w:t>
            </w:r>
          </w:p>
        </w:tc>
      </w:tr>
      <w:tr>
        <w:tc>
          <w:tcPr>
            <w:tcW w:type="dxa" w:w="2376"/>
            <w:vAlign w:val="center"/>
          </w:tcPr>
          <w:p>
            <w:pPr>
              <w:spacing w:after="20"/>
            </w:pPr>
            <w:r/>
            <w:r>
              <w:rPr>
                <w:rFonts w:ascii="Mendl Sans Dusk Regular" w:hAnsi="Mendl Sans Dusk Regular" w:eastAsia="Mendl Sans Dusk Regular" w:cs="Mendl Sans Dusk Regular"/>
                <w:b w:val="0"/>
                <w:color w:val="202723"/>
                <w:sz w:val="16"/>
              </w:rPr>
              <w:t>Target hierarchy</w:t>
            </w:r>
          </w:p>
        </w:tc>
        <w:tc>
          <w:tcPr>
            <w:tcW w:type="dxa" w:w="7272"/>
            <w:vAlign w:val="center"/>
          </w:tcPr>
          <w:p>
            <w:pPr>
              <w:spacing w:after="20"/>
            </w:pPr>
            <w:r/>
            <w:r>
              <w:rPr>
                <w:rFonts w:ascii="Mendl Sans Dusk Regular" w:hAnsi="Mendl Sans Dusk Regular" w:eastAsia="Mendl Sans Dusk Regular" w:cs="Mendl Sans Dusk Regular"/>
                <w:b w:val="0"/>
                <w:color w:val="202723"/>
                <w:sz w:val="16"/>
              </w:rPr>
              <w:t>Tri-City Regional, Richland, Pasco, West Richland, then Hispanic Heritage network.</w:t>
            </w:r>
          </w:p>
        </w:tc>
      </w:tr>
      <w:tr>
        <w:tc>
          <w:tcPr>
            <w:tcW w:type="dxa" w:w="2376"/>
            <w:shd w:fill="EEF3F0"/>
            <w:vAlign w:val="center"/>
          </w:tcPr>
          <w:p>
            <w:pPr>
              <w:spacing w:after="20"/>
            </w:pPr>
            <w:r/>
            <w:r>
              <w:rPr>
                <w:rFonts w:ascii="Mendl Sans Dusk Regular" w:hAnsi="Mendl Sans Dusk Regular" w:eastAsia="Mendl Sans Dusk Regular" w:cs="Mendl Sans Dusk Regular"/>
                <w:b w:val="0"/>
                <w:color w:val="202723"/>
                <w:sz w:val="16"/>
              </w:rPr>
              <w:t>Upper Brass</w:t>
            </w:r>
          </w:p>
        </w:tc>
        <w:tc>
          <w:tcPr>
            <w:tcW w:type="dxa" w:w="7272"/>
            <w:shd w:fill="EEF3F0"/>
            <w:vAlign w:val="center"/>
          </w:tcPr>
          <w:p>
            <w:pPr>
              <w:spacing w:after="20"/>
            </w:pPr>
            <w:r/>
            <w:r>
              <w:rPr>
                <w:rFonts w:ascii="Mendl Sans Dusk Regular" w:hAnsi="Mendl Sans Dusk Regular" w:eastAsia="Mendl Sans Dusk Regular" w:cs="Mendl Sans Dusk Regular"/>
                <w:b w:val="0"/>
                <w:color w:val="202723"/>
                <w:sz w:val="16"/>
              </w:rPr>
              <w:t>CEO, COO, CHENG, CHNAV and Owners.</w:t>
            </w:r>
          </w:p>
        </w:tc>
      </w:tr>
      <w:tr>
        <w:tc>
          <w:tcPr>
            <w:tcW w:type="dxa" w:w="2376"/>
            <w:vAlign w:val="center"/>
          </w:tcPr>
          <w:p>
            <w:pPr>
              <w:spacing w:after="20"/>
            </w:pPr>
            <w:r/>
            <w:r>
              <w:rPr>
                <w:rFonts w:ascii="Mendl Sans Dusk Regular" w:hAnsi="Mendl Sans Dusk Regular" w:eastAsia="Mendl Sans Dusk Regular" w:cs="Mendl Sans Dusk Regular"/>
                <w:b w:val="0"/>
                <w:color w:val="202723"/>
                <w:sz w:val="16"/>
              </w:rPr>
              <w:t>Annual MHC ceiling</w:t>
            </w:r>
          </w:p>
        </w:tc>
        <w:tc>
          <w:tcPr>
            <w:tcW w:type="dxa" w:w="7272"/>
            <w:vAlign w:val="center"/>
          </w:tcPr>
          <w:p>
            <w:pPr>
              <w:spacing w:after="20"/>
            </w:pPr>
            <w:r/>
            <w:r>
              <w:rPr>
                <w:rFonts w:ascii="Mendl Sans Dusk Regular" w:hAnsi="Mendl Sans Dusk Regular" w:eastAsia="Mendl Sans Dusk Regular" w:cs="Mendl Sans Dusk Regular"/>
                <w:b w:val="0"/>
                <w:color w:val="202723"/>
                <w:sz w:val="16"/>
              </w:rPr>
              <w:t>$30,000 with category controls and Owner-controlled reserve.</w:t>
            </w:r>
          </w:p>
        </w:tc>
      </w:tr>
      <w:tr>
        <w:tc>
          <w:tcPr>
            <w:tcW w:type="dxa" w:w="2376"/>
            <w:shd w:fill="EEF3F0"/>
            <w:vAlign w:val="center"/>
          </w:tcPr>
          <w:p>
            <w:pPr>
              <w:spacing w:after="20"/>
            </w:pPr>
            <w:r/>
            <w:r>
              <w:rPr>
                <w:rFonts w:ascii="Mendl Sans Dusk Regular" w:hAnsi="Mendl Sans Dusk Regular" w:eastAsia="Mendl Sans Dusk Regular" w:cs="Mendl Sans Dusk Regular"/>
                <w:b w:val="0"/>
                <w:color w:val="202723"/>
                <w:sz w:val="16"/>
              </w:rPr>
              <w:t>Hosted-event doctrine</w:t>
            </w:r>
          </w:p>
        </w:tc>
        <w:tc>
          <w:tcPr>
            <w:tcW w:type="dxa" w:w="7272"/>
            <w:shd w:fill="EEF3F0"/>
            <w:vAlign w:val="center"/>
          </w:tcPr>
          <w:p>
            <w:pPr>
              <w:spacing w:after="20"/>
            </w:pPr>
            <w:r/>
            <w:r>
              <w:rPr>
                <w:rFonts w:ascii="Mendl Sans Dusk Regular" w:hAnsi="Mendl Sans Dusk Regular" w:eastAsia="Mendl Sans Dusk Regular" w:cs="Mendl Sans Dusk Regular"/>
                <w:b w:val="0"/>
                <w:color w:val="202723"/>
                <w:sz w:val="16"/>
              </w:rPr>
              <w:t>Go BIG, or Go Home: one flagship with at least 60% external sponsor funding and no more than $7,500 MHC net exposure.</w:t>
            </w:r>
          </w:p>
        </w:tc>
      </w:tr>
      <w:tr>
        <w:tc>
          <w:tcPr>
            <w:tcW w:type="dxa" w:w="2376"/>
            <w:vAlign w:val="center"/>
          </w:tcPr>
          <w:p>
            <w:pPr>
              <w:spacing w:after="20"/>
            </w:pPr>
            <w:r/>
            <w:r>
              <w:rPr>
                <w:rFonts w:ascii="Mendl Sans Dusk Regular" w:hAnsi="Mendl Sans Dusk Regular" w:eastAsia="Mendl Sans Dusk Regular" w:cs="Mendl Sans Dusk Regular"/>
                <w:b w:val="0"/>
                <w:color w:val="202723"/>
                <w:sz w:val="16"/>
              </w:rPr>
              <w:t>2028 scale test</w:t>
            </w:r>
          </w:p>
        </w:tc>
        <w:tc>
          <w:tcPr>
            <w:tcW w:type="dxa" w:w="7272"/>
            <w:vAlign w:val="center"/>
          </w:tcPr>
          <w:p>
            <w:pPr>
              <w:spacing w:after="20"/>
            </w:pPr>
            <w:r/>
            <w:r>
              <w:rPr>
                <w:rFonts w:ascii="Mendl Sans Dusk Regular" w:hAnsi="Mendl Sans Dusk Regular" w:eastAsia="Mendl Sans Dusk Regular" w:cs="Mendl Sans Dusk Regular"/>
                <w:b w:val="0"/>
                <w:color w:val="202723"/>
                <w:sz w:val="16"/>
              </w:rPr>
              <w:t>Combined 100-point score: 80+ expand, 70-79 controlled expansion, 60-69 revise and hold, below 60 contract or stop.</w:t>
            </w:r>
          </w:p>
        </w:tc>
      </w:tr>
    </w:tbl>
    <w:p/>
    <w:p>
      <w:pPr>
        <w:pStyle w:val="Heading1"/>
      </w:pPr>
      <w:r>
        <w:t>Appendix A. Minimum Event Decision Record</w:t>
      </w:r>
    </w:p>
    <w:p>
      <w:pPr>
        <w:pStyle w:val="ListBullet"/>
        <w:spacing w:after="60"/>
      </w:pPr>
      <w:r>
        <w:t>event name, organizer, jurisdiction and verified source</w:t>
      </w:r>
    </w:p>
    <w:p>
      <w:pPr>
        <w:pStyle w:val="ListBullet"/>
        <w:spacing w:after="60"/>
      </w:pPr>
      <w:r>
        <w:t>confirmed date or forecast window and revalidation date</w:t>
      </w:r>
    </w:p>
    <w:p>
      <w:pPr>
        <w:pStyle w:val="ListBullet"/>
        <w:spacing w:after="60"/>
      </w:pPr>
      <w:r>
        <w:t>engagement lane and weighted score</w:t>
      </w:r>
    </w:p>
    <w:p>
      <w:pPr>
        <w:pStyle w:val="ListBullet"/>
        <w:spacing w:after="60"/>
      </w:pPr>
      <w:r>
        <w:t>portfolio tier and written decision rationale</w:t>
      </w:r>
    </w:p>
    <w:p>
      <w:pPr>
        <w:pStyle w:val="ListBullet"/>
        <w:spacing w:after="60"/>
      </w:pPr>
      <w:r>
        <w:t>Event Sponsor, attendees, responsible position and backup</w:t>
      </w:r>
    </w:p>
    <w:p>
      <w:pPr>
        <w:pStyle w:val="ListBullet"/>
        <w:spacing w:after="60"/>
      </w:pPr>
      <w:r>
        <w:t>objective, target relationships and community benefit</w:t>
      </w:r>
    </w:p>
    <w:p>
      <w:pPr>
        <w:pStyle w:val="ListBullet"/>
        <w:spacing w:after="60"/>
      </w:pPr>
      <w:r>
        <w:t>cash, in-kind, travel and labor budget</w:t>
      </w:r>
    </w:p>
    <w:p>
      <w:pPr>
        <w:pStyle w:val="ListBullet"/>
        <w:spacing w:after="60"/>
      </w:pPr>
      <w:r>
        <w:t>risk, conflicts, insurance, permits, privacy and media controls</w:t>
      </w:r>
    </w:p>
    <w:p>
      <w:pPr>
        <w:pStyle w:val="ListBullet"/>
        <w:spacing w:after="60"/>
      </w:pPr>
      <w:r>
        <w:t>approval, conditions, decision date and cancellation authority</w:t>
      </w:r>
    </w:p>
    <w:p>
      <w:pPr>
        <w:pStyle w:val="ListBullet"/>
        <w:spacing w:after="60"/>
      </w:pPr>
      <w:r>
        <w:t>Marketing Flight record, server archive path and retention class</w:t>
      </w:r>
    </w:p>
    <w:p>
      <w:pPr>
        <w:pStyle w:val="Heading1"/>
      </w:pPr>
      <w:r>
        <w:t>Appendix B. After Action Review Questions</w:t>
      </w:r>
    </w:p>
    <w:p>
      <w:pPr>
        <w:pStyle w:val="ListBullet"/>
        <w:spacing w:after="60"/>
      </w:pPr>
      <w:r>
        <w:t>What was the approved mission and was it achieved?</w:t>
      </w:r>
    </w:p>
    <w:p>
      <w:pPr>
        <w:pStyle w:val="ListBullet"/>
        <w:spacing w:after="60"/>
      </w:pPr>
      <w:r>
        <w:t>What community value did MHC deliver?</w:t>
      </w:r>
    </w:p>
    <w:p>
      <w:pPr>
        <w:pStyle w:val="ListBullet"/>
        <w:spacing w:after="60"/>
      </w:pPr>
      <w:r>
        <w:t>Which relationships advanced and what is the next action?</w:t>
      </w:r>
    </w:p>
    <w:p>
      <w:pPr>
        <w:pStyle w:val="ListBullet"/>
        <w:spacing w:after="60"/>
      </w:pPr>
      <w:r>
        <w:t>What qualified opportunities were identified and handed off?</w:t>
      </w:r>
    </w:p>
    <w:p>
      <w:pPr>
        <w:pStyle w:val="ListBullet"/>
        <w:spacing w:after="60"/>
      </w:pPr>
      <w:r>
        <w:t>What commitments remain open?</w:t>
      </w:r>
    </w:p>
    <w:p>
      <w:pPr>
        <w:pStyle w:val="ListBullet"/>
        <w:spacing w:after="60"/>
      </w:pPr>
      <w:r>
        <w:t>What did MHC spend in cash, labor, travel and in-kind support?</w:t>
      </w:r>
    </w:p>
    <w:p>
      <w:pPr>
        <w:pStyle w:val="ListBullet"/>
        <w:spacing w:after="60"/>
      </w:pPr>
      <w:r>
        <w:t>Were sponsorship benefits delivered?</w:t>
      </w:r>
    </w:p>
    <w:p>
      <w:pPr>
        <w:pStyle w:val="ListBullet"/>
        <w:spacing w:after="60"/>
      </w:pPr>
      <w:r>
        <w:t>What safety, conduct, privacy, brand or reputation issues occurred?</w:t>
      </w:r>
    </w:p>
    <w:p>
      <w:pPr>
        <w:pStyle w:val="ListBullet"/>
        <w:spacing w:after="60"/>
      </w:pPr>
      <w:r>
        <w:t>Should MHC repeat, expand, change or stop this activation?</w:t>
      </w:r>
    </w:p>
    <w:p>
      <w:pPr>
        <w:pStyle w:val="ListBullet"/>
        <w:spacing w:after="60"/>
      </w:pPr>
      <w:r>
        <w:t>What must change in the calendar, score or briefing before the next event?</w:t>
      </w:r>
    </w:p>
    <w:p>
      <w:pPr>
        <w:pStyle w:val="Heading1"/>
      </w:pPr>
      <w:r>
        <w:t>Appendix C. Economic Planning Sources</w:t>
      </w:r>
    </w:p>
    <w:p>
      <w:r>
        <w:t>These official public sources establish a local planning range only. They do not add events to the authorized schedule. The Marketing Lead must revalidate current prices, benefits, availability and terms before every commitment.</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93"/>
            <w:shd w:fill="386851"/>
            <w:vAlign w:val="center"/>
          </w:tcPr>
          <w:p>
            <w:pPr>
              <w:spacing w:after="20"/>
            </w:pPr>
            <w:r/>
            <w:r>
              <w:rPr>
                <w:rFonts w:ascii="Mendl Sans Dusk Medium" w:hAnsi="Mendl Sans Dusk Medium" w:eastAsia="Mendl Sans Dusk Medium" w:cs="Mendl Sans Dusk Medium"/>
                <w:b/>
                <w:color w:val="FFFFFF"/>
                <w:sz w:val="16"/>
              </w:rPr>
              <w:t>Source</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Published planning signal</w:t>
            </w:r>
          </w:p>
        </w:tc>
        <w:tc>
          <w:tcPr>
            <w:tcW w:type="dxa" w:w="3293"/>
            <w:shd w:fill="386851"/>
            <w:vAlign w:val="center"/>
          </w:tcPr>
          <w:p>
            <w:pPr>
              <w:spacing w:after="20"/>
            </w:pPr>
            <w:r/>
            <w:r>
              <w:rPr>
                <w:rFonts w:ascii="Mendl Sans Dusk Medium" w:hAnsi="Mendl Sans Dusk Medium" w:eastAsia="Mendl Sans Dusk Medium" w:cs="Mendl Sans Dusk Medium"/>
                <w:b/>
                <w:color w:val="FFFFFF"/>
                <w:sz w:val="16"/>
              </w:rPr>
              <w:t>URL</w:t>
            </w:r>
          </w:p>
        </w:tc>
      </w:tr>
      <w:tr>
        <w:tc>
          <w:tcPr>
            <w:tcW w:type="dxa" w:w="2448"/>
            <w:vAlign w:val="center"/>
          </w:tcPr>
          <w:p>
            <w:pPr>
              <w:spacing w:after="20"/>
            </w:pPr>
            <w:r/>
            <w:r>
              <w:rPr>
                <w:rFonts w:ascii="Mendl Sans Dusk Regular" w:hAnsi="Mendl Sans Dusk Regular" w:eastAsia="Mendl Sans Dusk Regular" w:cs="Mendl Sans Dusk Regular"/>
                <w:b w:val="0"/>
                <w:color w:val="202723"/>
                <w:sz w:val="16"/>
              </w:rPr>
              <w:t>Tri-City Regional Chamber membership guide</w:t>
            </w:r>
          </w:p>
        </w:tc>
        <w:tc>
          <w:tcPr>
            <w:tcW w:type="dxa" w:w="3024"/>
            <w:vAlign w:val="center"/>
          </w:tcPr>
          <w:p>
            <w:pPr>
              <w:spacing w:after="20"/>
            </w:pPr>
            <w:r/>
            <w:r>
              <w:rPr>
                <w:rFonts w:ascii="Mendl Sans Dusk Regular" w:hAnsi="Mendl Sans Dusk Regular" w:eastAsia="Mendl Sans Dusk Regular" w:cs="Mendl Sans Dusk Regular"/>
                <w:b w:val="0"/>
                <w:color w:val="202723"/>
                <w:sz w:val="16"/>
              </w:rPr>
              <w:t>Classic $400; Leader $6,000</w:t>
            </w:r>
          </w:p>
        </w:tc>
        <w:tc>
          <w:tcPr>
            <w:tcW w:type="dxa" w:w="4176"/>
            <w:vAlign w:val="center"/>
          </w:tcPr>
          <w:p>
            <w:pPr>
              <w:spacing w:after="20"/>
            </w:pPr>
            <w:r/>
            <w:r>
              <w:rPr>
                <w:rFonts w:ascii="Mendl Sans Dusk Regular" w:hAnsi="Mendl Sans Dusk Regular" w:eastAsia="Mendl Sans Dusk Regular" w:cs="Mendl Sans Dusk Regular"/>
                <w:b w:val="0"/>
                <w:color w:val="202723"/>
                <w:sz w:val="16"/>
              </w:rPr>
              <w:t>https://www.tricityregionalchamber.com/uploads/4/8/9/6/48961239/oct_2025_membership_investment_guide_-_smaller.pdf</w:t>
            </w:r>
          </w:p>
        </w:tc>
      </w:tr>
      <w:tr>
        <w:tc>
          <w:tcPr>
            <w:tcW w:type="dxa" w:w="2448"/>
            <w:shd w:fill="EEF3F0"/>
            <w:vAlign w:val="center"/>
          </w:tcPr>
          <w:p>
            <w:pPr>
              <w:spacing w:after="20"/>
            </w:pPr>
            <w:r/>
            <w:r>
              <w:rPr>
                <w:rFonts w:ascii="Mendl Sans Dusk Regular" w:hAnsi="Mendl Sans Dusk Regular" w:eastAsia="Mendl Sans Dusk Regular" w:cs="Mendl Sans Dusk Regular"/>
                <w:b w:val="0"/>
                <w:color w:val="202723"/>
                <w:sz w:val="16"/>
              </w:rPr>
              <w:t>Tri-City Regional Chamber sponsorship notice</w:t>
            </w:r>
          </w:p>
        </w:tc>
        <w:tc>
          <w:tcPr>
            <w:tcW w:type="dxa" w:w="3024"/>
            <w:shd w:fill="EEF3F0"/>
            <w:vAlign w:val="center"/>
          </w:tcPr>
          <w:p>
            <w:pPr>
              <w:spacing w:after="20"/>
            </w:pPr>
            <w:r/>
            <w:r>
              <w:rPr>
                <w:rFonts w:ascii="Mendl Sans Dusk Regular" w:hAnsi="Mendl Sans Dusk Regular" w:eastAsia="Mendl Sans Dusk Regular" w:cs="Mendl Sans Dusk Regular"/>
                <w:b w:val="0"/>
                <w:color w:val="202723"/>
                <w:sz w:val="16"/>
              </w:rPr>
              <w:t>Exclusive examples at $6,000 and $10,000</w:t>
            </w:r>
          </w:p>
        </w:tc>
        <w:tc>
          <w:tcPr>
            <w:tcW w:type="dxa" w:w="4176"/>
            <w:shd w:fill="EEF3F0"/>
            <w:vAlign w:val="center"/>
          </w:tcPr>
          <w:p>
            <w:pPr>
              <w:spacing w:after="20"/>
            </w:pPr>
            <w:r/>
            <w:r>
              <w:rPr>
                <w:rFonts w:ascii="Mendl Sans Dusk Regular" w:hAnsi="Mendl Sans Dusk Regular" w:eastAsia="Mendl Sans Dusk Regular" w:cs="Mendl Sans Dusk Regular"/>
                <w:b w:val="0"/>
                <w:color w:val="202723"/>
                <w:sz w:val="16"/>
              </w:rPr>
              <w:t>https://www.tricityregionalchamber.com/blog/sponsorship-opportunities-be-the-face-of-two-high-impact-events</w:t>
            </w:r>
          </w:p>
        </w:tc>
      </w:tr>
      <w:tr>
        <w:tc>
          <w:tcPr>
            <w:tcW w:type="dxa" w:w="2448"/>
            <w:vAlign w:val="center"/>
          </w:tcPr>
          <w:p>
            <w:pPr>
              <w:spacing w:after="20"/>
            </w:pPr>
            <w:r/>
            <w:r>
              <w:rPr>
                <w:rFonts w:ascii="Mendl Sans Dusk Regular" w:hAnsi="Mendl Sans Dusk Regular" w:eastAsia="Mendl Sans Dusk Regular" w:cs="Mendl Sans Dusk Regular"/>
                <w:b w:val="0"/>
                <w:color w:val="202723"/>
                <w:sz w:val="16"/>
              </w:rPr>
              <w:t>Pasco Chamber sponsorship packet</w:t>
            </w:r>
          </w:p>
        </w:tc>
        <w:tc>
          <w:tcPr>
            <w:tcW w:type="dxa" w:w="3024"/>
            <w:vAlign w:val="center"/>
          </w:tcPr>
          <w:p>
            <w:pPr>
              <w:spacing w:after="20"/>
            </w:pPr>
            <w:r/>
            <w:r>
              <w:rPr>
                <w:rFonts w:ascii="Mendl Sans Dusk Regular" w:hAnsi="Mendl Sans Dusk Regular" w:eastAsia="Mendl Sans Dusk Regular" w:cs="Mendl Sans Dusk Regular"/>
                <w:b w:val="0"/>
                <w:color w:val="202723"/>
                <w:sz w:val="16"/>
              </w:rPr>
              <w:t>Agriculture and program examples from $1,900 to $6,000</w:t>
            </w:r>
          </w:p>
        </w:tc>
        <w:tc>
          <w:tcPr>
            <w:tcW w:type="dxa" w:w="4176"/>
            <w:vAlign w:val="center"/>
          </w:tcPr>
          <w:p>
            <w:pPr>
              <w:spacing w:after="20"/>
            </w:pPr>
            <w:r/>
            <w:r>
              <w:rPr>
                <w:rFonts w:ascii="Mendl Sans Dusk Regular" w:hAnsi="Mendl Sans Dusk Regular" w:eastAsia="Mendl Sans Dusk Regular" w:cs="Mendl Sans Dusk Regular"/>
                <w:b w:val="0"/>
                <w:color w:val="202723"/>
                <w:sz w:val="16"/>
              </w:rPr>
              <w:t>https://pascochamber.org/wp-content/uploads/2025/04/2025-SPONSORSHIP-PACKET-2.pdf</w:t>
            </w:r>
          </w:p>
        </w:tc>
      </w:tr>
      <w:tr>
        <w:tc>
          <w:tcPr>
            <w:tcW w:type="dxa" w:w="2448"/>
            <w:shd w:fill="EEF3F0"/>
            <w:vAlign w:val="center"/>
          </w:tcPr>
          <w:p>
            <w:pPr>
              <w:spacing w:after="20"/>
            </w:pPr>
            <w:r/>
            <w:r>
              <w:rPr>
                <w:rFonts w:ascii="Mendl Sans Dusk Regular" w:hAnsi="Mendl Sans Dusk Regular" w:eastAsia="Mendl Sans Dusk Regular" w:cs="Mendl Sans Dusk Regular"/>
                <w:b w:val="0"/>
                <w:color w:val="202723"/>
                <w:sz w:val="16"/>
              </w:rPr>
              <w:t>Richland Chamber Cool Desert Nights</w:t>
            </w:r>
          </w:p>
        </w:tc>
        <w:tc>
          <w:tcPr>
            <w:tcW w:type="dxa" w:w="3024"/>
            <w:shd w:fill="EEF3F0"/>
            <w:vAlign w:val="center"/>
          </w:tcPr>
          <w:p>
            <w:pPr>
              <w:spacing w:after="20"/>
            </w:pPr>
            <w:r/>
            <w:r>
              <w:rPr>
                <w:rFonts w:ascii="Mendl Sans Dusk Regular" w:hAnsi="Mendl Sans Dusk Regular" w:eastAsia="Mendl Sans Dusk Regular" w:cs="Mendl Sans Dusk Regular"/>
                <w:b w:val="0"/>
                <w:color w:val="202723"/>
                <w:sz w:val="16"/>
              </w:rPr>
              <w:t>Fan sponsorship listed at $500; committee, vendor and volunteer activation available</w:t>
            </w:r>
          </w:p>
        </w:tc>
        <w:tc>
          <w:tcPr>
            <w:tcW w:type="dxa" w:w="4176"/>
            <w:shd w:fill="EEF3F0"/>
            <w:vAlign w:val="center"/>
          </w:tcPr>
          <w:p>
            <w:pPr>
              <w:spacing w:after="20"/>
            </w:pPr>
            <w:r/>
            <w:r>
              <w:rPr>
                <w:rFonts w:ascii="Mendl Sans Dusk Regular" w:hAnsi="Mendl Sans Dusk Regular" w:eastAsia="Mendl Sans Dusk Regular" w:cs="Mendl Sans Dusk Regular"/>
                <w:b w:val="0"/>
                <w:color w:val="202723"/>
                <w:sz w:val="16"/>
              </w:rPr>
              <w:t>https://www.richlandchamber.org/cool-desert-nights/</w:t>
            </w:r>
          </w:p>
        </w:tc>
      </w:tr>
      <w:tr>
        <w:tc>
          <w:tcPr>
            <w:tcW w:type="dxa" w:w="2448"/>
            <w:vAlign w:val="center"/>
          </w:tcPr>
          <w:p>
            <w:pPr>
              <w:spacing w:after="20"/>
            </w:pPr>
            <w:r/>
            <w:r>
              <w:rPr>
                <w:rFonts w:ascii="Mendl Sans Dusk Regular" w:hAnsi="Mendl Sans Dusk Regular" w:eastAsia="Mendl Sans Dusk Regular" w:cs="Mendl Sans Dusk Regular"/>
                <w:b w:val="0"/>
                <w:color w:val="202723"/>
                <w:sz w:val="16"/>
              </w:rPr>
              <w:t>West Richland Veterans Day Parade</w:t>
            </w:r>
          </w:p>
        </w:tc>
        <w:tc>
          <w:tcPr>
            <w:tcW w:type="dxa" w:w="3024"/>
            <w:vAlign w:val="center"/>
          </w:tcPr>
          <w:p>
            <w:pPr>
              <w:spacing w:after="20"/>
            </w:pPr>
            <w:r/>
            <w:r>
              <w:rPr>
                <w:rFonts w:ascii="Mendl Sans Dusk Regular" w:hAnsi="Mendl Sans Dusk Regular" w:eastAsia="Mendl Sans Dusk Regular" w:cs="Mendl Sans Dusk Regular"/>
                <w:b w:val="0"/>
                <w:color w:val="202723"/>
                <w:sz w:val="16"/>
              </w:rPr>
              <w:t>Sponsor, volunteer and parade-entry opportunities; pricing requires organizer confirmation</w:t>
            </w:r>
          </w:p>
        </w:tc>
        <w:tc>
          <w:tcPr>
            <w:tcW w:type="dxa" w:w="4176"/>
            <w:vAlign w:val="center"/>
          </w:tcPr>
          <w:p>
            <w:pPr>
              <w:spacing w:after="20"/>
            </w:pPr>
            <w:r/>
            <w:r>
              <w:rPr>
                <w:rFonts w:ascii="Mendl Sans Dusk Regular" w:hAnsi="Mendl Sans Dusk Regular" w:eastAsia="Mendl Sans Dusk Regular" w:cs="Mendl Sans Dusk Regular"/>
                <w:b w:val="0"/>
                <w:color w:val="202723"/>
                <w:sz w:val="16"/>
              </w:rPr>
              <w:t>https://westrichlandchamber.org/event/26th-annual-tri-cities-regional-veterans-day-parade-2/</w:t>
            </w:r>
          </w:p>
        </w:tc>
      </w:tr>
    </w:tbl>
    <w:p/>
    <w:p>
      <w:pPr>
        <w:pStyle w:val="Heading1"/>
      </w:pPr>
      <w:r>
        <w:t>Appendix D. Calendar Control Rule</w:t>
      </w:r>
    </w:p>
    <w:p>
      <w:r>
        <w:t>The source workbook remains the 100-event research library. The 30-event table in Section 7 is the proposed 2027 operating calendar. Research-library events not selected for 2027 remain available for future-year planning, replacements caused by cancellation, or Chief Editor-directed changes. Any substitution requires a written reason and approval before the integrated calendar changes.</w:t>
      </w:r>
    </w:p>
    <w:sectPr w:rsidR="00FC693F" w:rsidRPr="0006063C" w:rsidSect="00034616">
      <w:headerReference w:type="default" r:id="rId9"/>
      <w:footerReference w:type="default" r:id="rId10"/>
      <w:headerReference w:type="first" r:id="rId12"/>
      <w:footerReference w:type="first" r:id="rId13"/>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b w:val="0"/>
        <w:color w:val="BD9264"/>
        <w:sz w:val="14"/>
      </w:rPr>
      <w:t xml:space="preserve">MKT-002 | BETA | Controlled MH Ecosystem | Page </w:t>
    </w:r>
    <w:r>
      <w:rPr>
        <w:rFonts w:ascii="Mendl Sans Dusk Regular" w:hAnsi="Mendl Sans Dusk Regular" w:eastAsia="Mendl Sans Dusk Regular" w:cs="Mendl Sans Dusk Regular"/>
        <w:b w:val="0"/>
        <w:color w:val="BD9264"/>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10896" cy="177173"/>
          <wp:docPr id="1" name="Picture 1" descr="Image: item1.xml"/>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Medium" w:hAnsi="Mendl Sans Dusk Medium" w:eastAsia="Mendl Sans Dusk Medium" w:cs="Mendl Sans Dusk Medium"/>
        <w:b/>
        <w:color w:val="386851"/>
        <w:sz w:val="15"/>
      </w:rPr>
      <w:t xml:space="preserve">  MH CONSTRUCTION | MARKETING DEPARTMENT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pPr>
    <w:rPr>
      <w:rFonts w:ascii="Mendl Sans Dusk Regular" w:hAnsi="Mendl Sans Dusk Regular"/>
      <w:b w:val="0"/>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Event and Community Outreach Program</dc:title>
  <dc:subject>Chamber engagement, sponsorship, volunteer and hosted-event control</dc:subject>
  <dc:creator>Matt Ramsey</dc:creator>
  <cp:keywords>MH Construction, Marketing Flight, Chamber of Commerce, community outreach, events, sponsorship, volunteer</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