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rPr>
          <w:trHeight w:val="12200" w:hRule="atLeast"/>
        </w:trPr>
        <w:tc>
          <w:tcPr>
            <w:tcW w:type="dxa" w:w="9878"/>
            <w:shd w:fill="0F1412"/>
            <w:vAlign w:val="center"/>
          </w:tcPr>
          <w:p>
            <w:pPr>
              <w:spacing w:after="840"/>
              <w:jc w:val="center"/>
            </w:pPr>
            <w:r>
              <w:drawing>
                <wp:inline xmlns:a="http://schemas.openxmlformats.org/drawingml/2006/main" xmlns:pic="http://schemas.openxmlformats.org/drawingml/2006/picture">
                  <wp:extent cx="2148840" cy="122458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1224580"/>
                          </a:xfrm>
                          <a:prstGeom prst="rect"/>
                        </pic:spPr>
                      </pic:pic>
                    </a:graphicData>
                  </a:graphic>
                </wp:inline>
              </w:drawing>
            </w:r>
          </w:p>
          <w:p>
            <w:pPr>
              <w:spacing w:after="320"/>
              <w:jc w:val="left"/>
            </w:pPr>
            <w:r>
              <w:rPr>
                <w:rFonts w:ascii="Mendl Sans Dusk Medium" w:hAnsi="Mendl Sans Dusk Medium" w:eastAsia="Mendl Sans Dusk Medium" w:cs="Mendl Sans Dusk Medium"/>
                <w:b/>
                <w:color w:val="BD9264"/>
                <w:sz w:val="18"/>
              </w:rPr>
              <w:t>CONTROLLED ENTERPRISE DOCUMENT</w:t>
            </w:r>
          </w:p>
          <w:p>
            <w:pPr>
              <w:spacing w:after="220"/>
              <w:jc w:val="left"/>
            </w:pPr>
            <w:r>
              <w:rPr>
                <w:rFonts w:ascii="Mendl Sans Dusk Bold" w:hAnsi="Mendl Sans Dusk Bold" w:eastAsia="Mendl Sans Dusk Bold" w:cs="Mendl Sans Dusk Bold"/>
                <w:b/>
                <w:color w:val="FFFFFF"/>
                <w:sz w:val="50"/>
              </w:rPr>
              <w:t>Sales Estimating Guide</w:t>
            </w:r>
          </w:p>
          <w:p>
            <w:pPr>
              <w:spacing w:after="320"/>
              <w:jc w:val="left"/>
            </w:pPr>
            <w:r>
              <w:rPr>
                <w:rFonts w:ascii="Mendl Sans Dusk Medium" w:hAnsi="Mendl Sans Dusk Medium" w:eastAsia="Mendl Sans Dusk Medium" w:cs="Mendl Sans Dusk Medium"/>
                <w:b/>
                <w:color w:val="628F79"/>
                <w:sz w:val="26"/>
              </w:rPr>
              <w:t>MH Construction Enterprise Management System</w:t>
            </w:r>
          </w:p>
          <w:p>
            <w:pPr>
              <w:spacing w:after="240"/>
              <w:jc w:val="left"/>
            </w:pPr>
            <w:r>
              <w:rPr>
                <w:rFonts w:ascii="Mendl Sans Dusk Regular" w:hAnsi="Mendl Sans Dusk Regular" w:eastAsia="Mendl Sans Dusk Regular" w:cs="Mendl Sans Dusk Regular"/>
                <w:color w:val="FFFFFF"/>
                <w:sz w:val="18"/>
              </w:rPr>
              <w:t>Document family: STRATEGY AND BUSINESS DEVELOPMENT\nControlled file: mh-sales-estimating-guide-v1-0-draft.docx\nLifecycle: Draft</w:t>
            </w:r>
          </w:p>
          <w:p>
            <w:pPr>
              <w:spacing w:before="120"/>
              <w:pBdr>
                <w:bottom w:val="single" w:sz="6" w:space="7" w:color="BD9264"/>
              </w:pBdr>
            </w:pPr>
            <w:r>
              <w:rPr>
                <w:rFonts w:ascii="Mendl Sans Dusk Medium" w:hAnsi="Mendl Sans Dusk Medium" w:eastAsia="Mendl Sans Dusk Medium" w:cs="Mendl Sans Dusk Medium"/>
                <w:b/>
                <w:color w:val="FFFFFF"/>
                <w:sz w:val="18"/>
              </w:rPr>
              <w:t>Use only after required functional, technical, field-usability, and approval gates are complete.</w:t>
            </w:r>
          </w:p>
        </w:tc>
      </w:tr>
    </w:tbl>
    <w:p>
      <w:r>
        <w:br w:type="page"/>
      </w:r>
    </w:p>
    <w:p>
      <w:pPr/>
      <w:r>
        <w:t>Control: Version 1.0 | Status Draft | Author and Chief Editor: Matt Ramsey | Co-Editor: Todd Shoeff | Final Approver: Jeremy Thamert</w:t>
      </w:r>
    </w:p>
    <w:p>
      <w:pPr>
        <w:widowControl/>
        <w:spacing w:before="560" w:after="360"/>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2331720" cy="1328799"/>
            <wp:docPr id="1" name="Picture 1"/>
            <wp:cNvGraphicFramePr>
              <a:graphicFrameLocks noChangeAspect="1"/>
            </wp:cNvGraphicFramePr>
            <a:graphic>
              <a:graphicData uri="http://schemas.openxmlformats.org/drawingml/2006/picture">
                <pic:pic>
                  <pic:nvPicPr>
                    <pic:cNvPr id="0" name="mh-logo.png"/>
                    <pic:cNvPicPr/>
                  </pic:nvPicPr>
                  <pic:blipFill>
                    <a:blip r:embed="rId11"/>
                    <a:stretch>
                      <a:fillRect/>
                    </a:stretch>
                  </pic:blipFill>
                  <pic:spPr>
                    <a:xfrm>
                      <a:off x="0" y="0"/>
                      <a:ext cx="2331720" cy="1328799"/>
                    </a:xfrm>
                    <a:prstGeom prst="rect"/>
                  </pic:spPr>
                </pic:pic>
              </a:graphicData>
            </a:graphic>
          </wp:inline>
        </w:drawing>
      </w:r>
    </w:p>
    <w:p>
      <w:pPr>
        <w:pStyle w:val="Title"/>
        <w:widowControl/>
        <w:spacing w:before="160"/>
      </w:pPr>
      <w:r>
        <w:rPr>
          <w:rFonts w:ascii="Mendl Sans Dusk Bold" w:hAnsi="Mendl Sans Dusk Bold" w:eastAsia="Mendl Sans Dusk Bold" w:cs="Mendl Sans Dusk Bold"/>
          <w:b/>
          <w:color w:val="386851"/>
          <w:sz w:val="54"/>
        </w:rPr>
        <w:t>MH Construction Sales and Estimating Guide</w:t>
      </w:r>
    </w:p>
    <w:p>
      <w:pPr>
        <w:pStyle w:val="Heading2"/>
        <w:widowControl/>
      </w:pPr>
      <w:r>
        <w:rPr>
          <w:rFonts w:ascii="Mendl Sans Dusk Medium" w:hAnsi="Mendl Sans Dusk Medium" w:eastAsia="Mendl Sans Dusk Medium" w:cs="Mendl Sans Dusk Medium"/>
          <w:b/>
          <w:color w:val="628F79"/>
          <w:sz w:val="26"/>
        </w:rPr>
        <w:t>Qualification, pursuit, estimating, proposal, contract and handoff controls</w:t>
      </w:r>
    </w:p>
    <w:p>
      <w:pPr>
        <w:widowControl/>
      </w:pPr>
      <w:r>
        <w:rPr>
          <w:rFonts w:ascii="Mendl Sans Dusk Regular" w:hAnsi="Mendl Sans Dusk Regular" w:eastAsia="Mendl Sans Dusk Regular" w:cs="Mendl Sans Dusk Regular"/>
          <w:b/>
          <w:color w:val="202723"/>
          <w:sz w:val="21"/>
        </w:rPr>
        <w:t>Document ID:</w:t>
      </w:r>
      <w:r>
        <w:rPr>
          <w:rFonts w:ascii="Mendl Sans Dusk Regular" w:hAnsi="Mendl Sans Dusk Regular" w:eastAsia="Mendl Sans Dusk Regular" w:cs="Mendl Sans Dusk Regular"/>
          <w:b w:val="0"/>
          <w:color w:val="202723"/>
          <w:sz w:val="21"/>
        </w:rPr>
        <w:t xml:space="preserve"> SAL-001 </w:t>
      </w:r>
      <w:r>
        <w:rPr>
          <w:rFonts w:ascii="Mendl Sans Dusk Regular" w:hAnsi="Mendl Sans Dusk Regular" w:eastAsia="Mendl Sans Dusk Regular" w:cs="Mendl Sans Dusk Regular"/>
          <w:b/>
          <w:color w:val="202723"/>
          <w:sz w:val="21"/>
        </w:rPr>
        <w:t>Version:</w:t>
      </w:r>
      <w:r>
        <w:rPr>
          <w:rFonts w:ascii="Mendl Sans Dusk Regular" w:hAnsi="Mendl Sans Dusk Regular" w:eastAsia="Mendl Sans Dusk Regular" w:cs="Mendl Sans Dusk Regular"/>
          <w:b w:val="0"/>
          <w:color w:val="202723"/>
          <w:sz w:val="21"/>
        </w:rPr>
        <w:t xml:space="preserve"> 6.0 </w:t>
      </w:r>
      <w:r>
        <w:rPr>
          <w:rFonts w:ascii="Mendl Sans Dusk Regular" w:hAnsi="Mendl Sans Dusk Regular" w:eastAsia="Mendl Sans Dusk Regular" w:cs="Mendl Sans Dusk Regular"/>
          <w:b/>
          <w:color w:val="202723"/>
          <w:sz w:val="21"/>
        </w:rPr>
        <w:t>Owner:</w:t>
      </w:r>
      <w:r>
        <w:rPr>
          <w:rFonts w:ascii="Mendl Sans Dusk Regular" w:hAnsi="Mendl Sans Dusk Regular" w:eastAsia="Mendl Sans Dusk Regular" w:cs="Mendl Sans Dusk Regular"/>
          <w:b w:val="0"/>
          <w:color w:val="202723"/>
          <w:sz w:val="21"/>
        </w:rPr>
        <w:t xml:space="preserve"> Chief Navigation Officer (CHNAV) </w:t>
      </w:r>
      <w:r>
        <w:rPr>
          <w:rFonts w:ascii="Mendl Sans Dusk Regular" w:hAnsi="Mendl Sans Dusk Regular" w:eastAsia="Mendl Sans Dusk Regular" w:cs="Mendl Sans Dusk Regular"/>
          <w:b/>
          <w:color w:val="202723"/>
          <w:sz w:val="21"/>
        </w:rPr>
        <w:t>Approver:</w:t>
      </w:r>
      <w:r>
        <w:rPr>
          <w:rFonts w:ascii="Mendl Sans Dusk Regular" w:hAnsi="Mendl Sans Dusk Regular" w:eastAsia="Mendl Sans Dusk Regular" w:cs="Mendl Sans Dusk Regular"/>
          <w:b w:val="0"/>
          <w:color w:val="202723"/>
          <w:sz w:val="21"/>
        </w:rPr>
        <w:t xml:space="preserve"> Jeremy Thamert, President/CEO - Acting COO </w:t>
      </w:r>
      <w:r>
        <w:rPr>
          <w:rFonts w:ascii="Mendl Sans Dusk Regular" w:hAnsi="Mendl Sans Dusk Regular" w:eastAsia="Mendl Sans Dusk Regular" w:cs="Mendl Sans Dusk Regular"/>
          <w:b/>
          <w:color w:val="202723"/>
          <w:sz w:val="21"/>
        </w:rPr>
        <w:t>Status:</w:t>
      </w:r>
      <w:r>
        <w:rPr>
          <w:rFonts w:ascii="Mendl Sans Dusk Regular" w:hAnsi="Mendl Sans Dusk Regular" w:eastAsia="Mendl Sans Dusk Regular" w:cs="Mendl Sans Dusk Regular"/>
          <w:b w:val="0"/>
          <w:color w:val="202723"/>
          <w:sz w:val="21"/>
        </w:rPr>
        <w:t xml:space="preserve"> Controlled company policy </w:t>
      </w:r>
      <w:r>
        <w:rPr>
          <w:rFonts w:ascii="Mendl Sans Dusk Regular" w:hAnsi="Mendl Sans Dusk Regular" w:eastAsia="Mendl Sans Dusk Regular" w:cs="Mendl Sans Dusk Regular"/>
          <w:b/>
          <w:color w:val="202723"/>
          <w:sz w:val="21"/>
        </w:rPr>
        <w:t>Classification:</w:t>
      </w:r>
      <w:r>
        <w:rPr>
          <w:rFonts w:ascii="Mendl Sans Dusk Regular" w:hAnsi="Mendl Sans Dusk Regular" w:eastAsia="Mendl Sans Dusk Regular" w:cs="Mendl Sans Dusk Regular"/>
          <w:b w:val="0"/>
          <w:color w:val="202723"/>
          <w:sz w:val="21"/>
        </w:rPr>
        <w:t xml:space="preserve"> Internal - controlled </w:t>
      </w:r>
      <w:r>
        <w:rPr>
          <w:rFonts w:ascii="Mendl Sans Dusk Regular" w:hAnsi="Mendl Sans Dusk Regular" w:eastAsia="Mendl Sans Dusk Regular" w:cs="Mendl Sans Dusk Regular"/>
          <w:b/>
          <w:color w:val="202723"/>
          <w:sz w:val="21"/>
        </w:rPr>
        <w:t>Effective date:</w:t>
      </w:r>
      <w:r>
        <w:rPr>
          <w:rFonts w:ascii="Mendl Sans Dusk Regular" w:hAnsi="Mendl Sans Dusk Regular" w:eastAsia="Mendl Sans Dusk Regular" w:cs="Mendl Sans Dusk Regular"/>
          <w:b w:val="0"/>
          <w:color w:val="202723"/>
          <w:sz w:val="21"/>
        </w:rPr>
        <w:t xml:space="preserve"> August 3, 2026 </w:t>
      </w:r>
      <w:r>
        <w:rPr>
          <w:rFonts w:ascii="Mendl Sans Dusk Regular" w:hAnsi="Mendl Sans Dusk Regular" w:eastAsia="Mendl Sans Dusk Regular" w:cs="Mendl Sans Dusk Regular"/>
          <w:b/>
          <w:color w:val="202723"/>
          <w:sz w:val="21"/>
        </w:rPr>
        <w:t>Review cycle:</w:t>
      </w:r>
      <w:r>
        <w:rPr>
          <w:rFonts w:ascii="Mendl Sans Dusk Regular" w:hAnsi="Mendl Sans Dusk Regular" w:eastAsia="Mendl Sans Dusk Regular" w:cs="Mendl Sans Dusk Regular"/>
          <w:b w:val="0"/>
          <w:color w:val="202723"/>
          <w:sz w:val="21"/>
        </w:rPr>
        <w:t xml:space="preserve"> Annual and upon material change</w:t>
      </w:r>
    </w:p>
    <w:tbl>
      <w:tblPr>
        <w:tblW w:type="auto" w:w="0"/>
        <w:jc w:val="left"/>
        <w:tblLayout w:type="fixed"/>
        <w:tblLook w:firstColumn="1" w:firstRow="1" w:lastColumn="0" w:lastRow="0" w:noHBand="0" w:noVBand="1" w:val="04A0"/>
      </w:tblPr>
      <w:tblGrid>
        <w:gridCol w:w="9360"/>
      </w:tblGrid>
      <w:tr>
        <w:tc>
          <w:tcPr>
            <w:tcW w:type="dxa" w:w="9360"/>
            <w:shd w:fill="F7F1E8"/>
            <w:tcMar>
              <w:top w:w="140" w:type="dxa"/>
              <w:start w:w="180" w:type="dxa"/>
              <w:bottom w:w="140" w:type="dxa"/>
              <w:end w:w="180" w:type="dxa"/>
            </w:tcMar>
          </w:tcPr>
          <w:p>
            <w:pPr>
              <w:widowControl/>
              <w:spacing w:after="0"/>
            </w:pPr>
            <w:r>
              <w:rPr>
                <w:rFonts w:ascii="Mendl Sans Dusk Regular" w:hAnsi="Mendl Sans Dusk Regular" w:eastAsia="Mendl Sans Dusk Regular" w:cs="Mendl Sans Dusk Regular"/>
                <w:b w:val="0"/>
                <w:color w:val="1E392C"/>
                <w:sz w:val="21"/>
              </w:rPr>
              <w:t>This manual is an authoritative component of the MH Construction Enterprise Management System. Employees follow this manual together with executed contracts, project-specific plans, jurisdiction addenda, manufacturer instructions and engineered requirements. Conflicts are stopped and escalated through the stated command path before work continues.</w:t>
            </w:r>
          </w:p>
        </w:tc>
      </w:tr>
    </w:tbl>
    <w:p>
      <w:pPr>
        <w:widowControl/>
        <w:spacing w:after="20"/>
      </w:pPr>
    </w:p>
    <w:p>
      <w:pPr>
        <w:widowControl/>
      </w:pPr>
      <w:r>
        <w:rPr>
          <w:rFonts w:ascii="Mendl Sans Dusk Regular" w:hAnsi="Mendl Sans Dusk Regular" w:eastAsia="Mendl Sans Dusk Regular" w:cs="Mendl Sans Dusk Regular"/>
        </w:rPr>
        <w:br w:type="page"/>
      </w:r>
    </w:p>
    <w:p>
      <w:pPr>
        <w:pStyle w:val="Heading2"/>
        <w:widowControl/>
      </w:pPr>
      <w:r>
        <w:rPr>
          <w:rFonts w:ascii="Mendl Sans Dusk Medium" w:hAnsi="Mendl Sans Dusk Medium" w:eastAsia="Mendl Sans Dusk Medium" w:cs="Mendl Sans Dusk Medium"/>
          <w:b/>
          <w:color w:val="628F79"/>
          <w:sz w:val="26"/>
        </w:rPr>
        <w:t>Sales and estimating controls</w:t>
      </w:r>
    </w:p>
    <w:p>
      <w:pPr>
        <w:pStyle w:val="Heading3"/>
        <w:widowControl/>
      </w:pPr>
      <w:r>
        <w:rPr>
          <w:rFonts w:ascii="Mendl Sans Dusk Medium" w:hAnsi="Mendl Sans Dusk Medium" w:eastAsia="Mendl Sans Dusk Medium" w:cs="Mendl Sans Dusk Medium"/>
          <w:b/>
          <w:color w:val="1E392C"/>
          <w:sz w:val="23"/>
        </w:rPr>
        <w:t>Required pursuit decisions</w:t>
      </w:r>
    </w:p>
    <w:p>
      <w:pPr>
        <w:widowControl/>
      </w:pPr>
      <w:r>
        <w:rPr>
          <w:rFonts w:ascii="Mendl Sans Dusk Regular" w:hAnsi="Mendl Sans Dusk Regular" w:eastAsia="Mendl Sans Dusk Regular" w:cs="Mendl Sans Dusk Regular"/>
          <w:b w:val="0"/>
          <w:color w:val="202723"/>
          <w:sz w:val="21"/>
        </w:rPr>
        <w:t>Every material opportunity receives a proportionate Go, Conditional Go, Hold or No-Go decision. Conditions have owners and close before submission or receive a documented exception.</w:t>
      </w:r>
    </w:p>
    <w:p>
      <w:pPr>
        <w:pStyle w:val="Heading3"/>
        <w:widowControl/>
      </w:pPr>
      <w:r>
        <w:rPr>
          <w:rFonts w:ascii="Mendl Sans Dusk Medium" w:hAnsi="Mendl Sans Dusk Medium" w:eastAsia="Mendl Sans Dusk Medium" w:cs="Mendl Sans Dusk Medium"/>
          <w:b/>
          <w:color w:val="1E392C"/>
          <w:sz w:val="23"/>
        </w:rPr>
        <w:t>Estimate independent review</w:t>
      </w:r>
    </w:p>
    <w:p>
      <w:pPr>
        <w:widowControl/>
      </w:pPr>
      <w:r>
        <w:rPr>
          <w:rFonts w:ascii="Mendl Sans Dusk Regular" w:hAnsi="Mendl Sans Dusk Regular" w:eastAsia="Mendl Sans Dusk Regular" w:cs="Mendl Sans Dusk Regular"/>
          <w:b w:val="0"/>
          <w:color w:val="202723"/>
          <w:sz w:val="21"/>
        </w:rPr>
        <w:t>An independent reviewer verifies current drawings/specifications/addenda, scope completeness, quantity/rate math, trade quote leveling, exclusions, schedule/general conditions, insurance/bonding/tax/permit costs, escalation, logistics, safety, quality and proposal risk language.</w:t>
      </w:r>
    </w:p>
    <w:p>
      <w:pPr>
        <w:pStyle w:val="Heading3"/>
        <w:widowControl/>
      </w:pPr>
      <w:r>
        <w:rPr>
          <w:rFonts w:ascii="Mendl Sans Dusk Medium" w:hAnsi="Mendl Sans Dusk Medium" w:eastAsia="Mendl Sans Dusk Medium" w:cs="Mendl Sans Dusk Medium"/>
          <w:b/>
          <w:color w:val="1E392C"/>
          <w:sz w:val="23"/>
        </w:rPr>
        <w:t>Proposal and contract authority</w:t>
      </w:r>
    </w:p>
    <w:p>
      <w:pPr>
        <w:widowControl/>
      </w:pPr>
      <w:r>
        <w:rPr>
          <w:rFonts w:ascii="Mendl Sans Dusk Regular" w:hAnsi="Mendl Sans Dusk Regular" w:eastAsia="Mendl Sans Dusk Regular" w:cs="Mendl Sans Dusk Regular"/>
          <w:b w:val="0"/>
          <w:color w:val="202723"/>
          <w:sz w:val="21"/>
        </w:rPr>
        <w:t>Only authorized personnel submit proposals or accept commercial commitments. High-risk contract exceptions are routed to qualified construction counsel or the applicable professional. Verbal clarifications affecting scope, cost, schedule or risk are confirmed in writing.</w:t>
      </w:r>
    </w:p>
    <w:p>
      <w:pPr>
        <w:pStyle w:val="Heading3"/>
        <w:widowControl/>
      </w:pPr>
      <w:r>
        <w:rPr>
          <w:rFonts w:ascii="Mendl Sans Dusk Medium" w:hAnsi="Mendl Sans Dusk Medium" w:eastAsia="Mendl Sans Dusk Medium" w:cs="Mendl Sans Dusk Medium"/>
          <w:b/>
          <w:color w:val="1E392C"/>
          <w:sz w:val="23"/>
        </w:rPr>
        <w:t>Accepted handoff</w:t>
      </w:r>
    </w:p>
    <w:p>
      <w:pPr>
        <w:widowControl/>
      </w:pPr>
      <w:r>
        <w:rPr>
          <w:rFonts w:ascii="Mendl Sans Dusk Regular" w:hAnsi="Mendl Sans Dusk Regular" w:eastAsia="Mendl Sans Dusk Regular" w:cs="Mendl Sans Dusk Regular"/>
          <w:b w:val="0"/>
          <w:color w:val="202723"/>
          <w:sz w:val="21"/>
        </w:rPr>
        <w:t>Operations handoff is complete only when the receiving PM accepts the executed contract/proposal reconciliation, estimate basis, scope map, commitments, client strategy, notices, schedule assumptions, procurement risks, safety/quality requirements and open decisions.</w:t>
      </w:r>
    </w:p>
    <w:p>
      <w:pPr>
        <w:widowControl/>
      </w:pPr>
      <w:r>
        <w:rPr>
          <w:rFonts w:ascii="Mendl Sans Dusk Regular" w:hAnsi="Mendl Sans Dusk Regular" w:eastAsia="Mendl Sans Dusk Regular" w:cs="Mendl Sans Dusk Regular"/>
        </w:rPr>
        <w:br w:type="page"/>
      </w:r>
    </w:p>
    <w:p>
      <w:pPr>
        <w:pStyle w:val="Heading2"/>
        <w:widowControl/>
      </w:pPr>
      <w:r>
        <w:rPr>
          <w:rFonts w:ascii="Mendl Sans Dusk Medium" w:hAnsi="Mendl Sans Dusk Medium" w:eastAsia="Mendl Sans Dusk Medium" w:cs="Mendl Sans Dusk Medium"/>
          <w:b/>
          <w:color w:val="628F79"/>
          <w:sz w:val="26"/>
        </w:rPr>
        <w:t>Operating procedures</w:t>
      </w:r>
    </w:p>
    <w:p>
      <w:pPr>
        <w:pStyle w:val="Heading2"/>
        <w:widowControl/>
      </w:pPr>
      <w:r>
        <w:rPr>
          <w:rFonts w:ascii="Mendl Sans Dusk Medium" w:hAnsi="Mendl Sans Dusk Medium" w:eastAsia="Mendl Sans Dusk Medium" w:cs="Mendl Sans Dusk Medium"/>
          <w:b/>
          <w:color w:val="628F79"/>
          <w:sz w:val="26"/>
        </w:rPr>
        <w:t>SE-01.0 | Canonical Strategy Sources</w:t>
      </w:r>
    </w:p>
    <w:p>
      <w:pPr>
        <w:widowControl/>
      </w:pPr>
      <w:r>
        <w:rPr>
          <w:rFonts w:ascii="Mendl Sans Dusk Regular" w:hAnsi="Mendl Sans Dusk Regular" w:eastAsia="Mendl Sans Dusk Regular" w:cs="Mendl Sans Dusk Regular"/>
          <w:b w:val="0"/>
          <w:color w:val="202723"/>
          <w:sz w:val="21"/>
        </w:rPr>
        <w:t>The following sources govern all sales and estimating decisions. Treat the marketing parameters directory as the shared baseline cluster whenever sales or estimating communication crosses into marketing, public narrative, or reusable stakeholder-facing recap content.</w:t>
      </w:r>
    </w:p>
    <w:tbl>
      <w:tblPr>
        <w:tblStyle w:val="TableGrid"/>
        <w:tblW w:type="auto" w:w="0"/>
        <w:jc w:val="left"/>
        <w:tblLayout w:type="fixed"/>
        <w:tblLook w:firstColumn="1" w:firstRow="1" w:lastColumn="0" w:lastRow="0" w:noHBand="0" w:noVBand="1" w:val="04A0"/>
      </w:tblPr>
      <w:tblGrid>
        <w:gridCol w:w="3293"/>
        <w:gridCol w:w="3293"/>
        <w:gridCol w:w="3293"/>
      </w:tblGrid>
      <w:tr>
        <w:tc>
          <w:tcPr>
            <w:tcW w:type="dxa" w:w="2547"/>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Source</w:t>
            </w:r>
          </w:p>
        </w:tc>
        <w:tc>
          <w:tcPr>
            <w:tcW w:type="dxa" w:w="3311"/>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What It Controls</w:t>
            </w:r>
          </w:p>
        </w:tc>
        <w:tc>
          <w:tcPr>
            <w:tcW w:type="dxa" w:w="3502"/>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Use It For</w:t>
            </w:r>
          </w:p>
        </w:tc>
      </w:tr>
      <w:tr>
        <w:tc>
          <w:tcPr>
            <w:tcW w:type="dxa" w:w="254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Business Services (business/services.md)</w:t>
            </w:r>
          </w:p>
        </w:tc>
        <w:tc>
          <w:tcPr>
            <w:tcW w:type="dxa" w:w="3311"/>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Canonical service descriptions and proposal language</w:t>
            </w:r>
          </w:p>
        </w:tc>
        <w:tc>
          <w:tcPr>
            <w:tcW w:type="dxa" w:w="3502"/>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Service framing, scope language, and Client Partner-facing positioning</w:t>
            </w:r>
          </w:p>
        </w:tc>
      </w:tr>
      <w:tr>
        <w:tc>
          <w:tcPr>
            <w:tcW w:type="dxa" w:w="2547"/>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Marketing Strategy Guide</w:t>
            </w:r>
          </w:p>
        </w:tc>
        <w:tc>
          <w:tcPr>
            <w:tcW w:type="dxa" w:w="3311"/>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Public narrative and relationship-first messaging</w:t>
            </w:r>
          </w:p>
        </w:tc>
        <w:tc>
          <w:tcPr>
            <w:tcW w:type="dxa" w:w="3502"/>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Keeping public project narratives consistent with pursuit messaging</w:t>
            </w:r>
          </w:p>
        </w:tc>
      </w:tr>
      <w:tr>
        <w:tc>
          <w:tcPr>
            <w:tcW w:type="dxa" w:w="254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Social Media Branding Parameters</w:t>
            </w:r>
          </w:p>
        </w:tc>
        <w:tc>
          <w:tcPr>
            <w:tcW w:type="dxa" w:w="3311"/>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Shared campaign parameters baseline</w:t>
            </w:r>
          </w:p>
        </w:tc>
        <w:tc>
          <w:tcPr>
            <w:tcW w:type="dxa" w:w="3502"/>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Proof rules, lifecycle naming, message stack, and stakeholder-safe follow-up language</w:t>
            </w:r>
          </w:p>
        </w:tc>
      </w:tr>
      <w:tr>
        <w:tc>
          <w:tcPr>
            <w:tcW w:type="dxa" w:w="2547"/>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Proof and Approval Parameters</w:t>
            </w:r>
          </w:p>
        </w:tc>
        <w:tc>
          <w:tcPr>
            <w:tcW w:type="dxa" w:w="3311"/>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Shared evidence and release baseline</w:t>
            </w:r>
          </w:p>
        </w:tc>
        <w:tc>
          <w:tcPr>
            <w:tcW w:type="dxa" w:w="3502"/>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Verifying recap content, follow-up language, and reusable updates before external use</w:t>
            </w:r>
          </w:p>
        </w:tc>
      </w:tr>
      <w:tr>
        <w:tc>
          <w:tcPr>
            <w:tcW w:type="dxa" w:w="254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Pursuit and Handoff Parameters</w:t>
            </w:r>
          </w:p>
        </w:tc>
        <w:tc>
          <w:tcPr>
            <w:tcW w:type="dxa" w:w="3311"/>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Shared continuity and approval baseline</w:t>
            </w:r>
          </w:p>
        </w:tc>
        <w:tc>
          <w:tcPr>
            <w:tcW w:type="dxa" w:w="3502"/>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Opportunity-fit rules, approval authority, and pursuit-to-operations continuity</w:t>
            </w:r>
          </w:p>
        </w:tc>
      </w:tr>
      <w:tr>
        <w:tc>
          <w:tcPr>
            <w:tcW w:type="dxa" w:w="2547"/>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Brand Constants</w:t>
            </w:r>
          </w:p>
        </w:tc>
        <w:tc>
          <w:tcPr>
            <w:tcW w:type="dxa" w:w="3311"/>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Canonical brand values and factual framing</w:t>
            </w:r>
          </w:p>
        </w:tc>
        <w:tc>
          <w:tcPr>
            <w:tcW w:type="dxa" w:w="3502"/>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Title treatment, tone, and approved trust language</w:t>
            </w:r>
          </w:p>
        </w:tc>
      </w:tr>
      <w:tr>
        <w:tc>
          <w:tcPr>
            <w:tcW w:type="dxa" w:w="254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Dual Terminology Standard</w:t>
            </w:r>
          </w:p>
        </w:tc>
        <w:tc>
          <w:tcPr>
            <w:tcW w:type="dxa" w:w="3311"/>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Enterprise naming rules for outside audiences</w:t>
            </w:r>
          </w:p>
        </w:tc>
        <w:tc>
          <w:tcPr>
            <w:tcW w:type="dxa" w:w="3502"/>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Stakeholder-facing terms, role labels, and naming consistency</w:t>
            </w:r>
          </w:p>
        </w:tc>
      </w:tr>
      <w:tr>
        <w:tc>
          <w:tcPr>
            <w:tcW w:type="dxa" w:w="2547"/>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Universal Page Flow Standard</w:t>
            </w:r>
          </w:p>
        </w:tc>
        <w:tc>
          <w:tcPr>
            <w:tcW w:type="dxa" w:w="3311"/>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Lead-path page structure</w:t>
            </w:r>
          </w:p>
        </w:tc>
        <w:tc>
          <w:tcPr>
            <w:tcW w:type="dxa" w:w="3502"/>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Proposal and sales-page sequencing that moves from trust to action</w:t>
            </w:r>
          </w:p>
        </w:tc>
      </w:tr>
      <w:tr>
        <w:tc>
          <w:tcPr>
            <w:tcW w:type="dxa" w:w="254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Procore</w:t>
            </w:r>
          </w:p>
        </w:tc>
        <w:tc>
          <w:tcPr>
            <w:tcW w:type="dxa" w:w="3311"/>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Project management and RFI/RFQ documentation</w:t>
            </w:r>
          </w:p>
        </w:tc>
        <w:tc>
          <w:tcPr>
            <w:tcW w:type="dxa" w:w="3502"/>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Tracking awarded project scope, RFIs, and subcontract records</w:t>
            </w:r>
          </w:p>
        </w:tc>
      </w:tr>
      <w:tr>
        <w:tc>
          <w:tcPr>
            <w:tcW w:type="dxa" w:w="2547"/>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Sage 100</w:t>
            </w:r>
          </w:p>
        </w:tc>
        <w:tc>
          <w:tcPr>
            <w:tcW w:type="dxa" w:w="3311"/>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ERP and accounting</w:t>
            </w:r>
          </w:p>
        </w:tc>
        <w:tc>
          <w:tcPr>
            <w:tcW w:type="dxa" w:w="3502"/>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Cost code tracking, budget-to-actual, and financial reporting</w:t>
            </w:r>
          </w:p>
        </w:tc>
      </w:tr>
      <w:tr>
        <w:tc>
          <w:tcPr>
            <w:tcW w:type="dxa" w:w="254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BidPilot</w:t>
            </w:r>
          </w:p>
        </w:tc>
        <w:tc>
          <w:tcPr>
            <w:tcW w:type="dxa" w:w="3311"/>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Lead pipeline and client relationship management</w:t>
            </w:r>
          </w:p>
        </w:tc>
        <w:tc>
          <w:tcPr>
            <w:tcW w:type="dxa" w:w="3502"/>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Tracking pursuit status, logging contacts, and managing follow-up sequences</w:t>
            </w:r>
          </w:p>
        </w:tc>
      </w:tr>
    </w:tbl>
    <w:p>
      <w:pPr>
        <w:widowControl/>
        <w:spacing w:after="20"/>
      </w:pPr>
    </w:p>
    <w:p>
      <w:pPr>
        <w:pStyle w:val="Heading2"/>
        <w:widowControl/>
      </w:pPr>
      <w:r>
        <w:rPr>
          <w:rFonts w:ascii="Mendl Sans Dusk Medium" w:hAnsi="Mendl Sans Dusk Medium" w:eastAsia="Mendl Sans Dusk Medium" w:cs="Mendl Sans Dusk Medium"/>
          <w:b/>
          <w:color w:val="628F79"/>
          <w:sz w:val="26"/>
        </w:rPr>
        <w:t>SE-02.0 | Core Doctrine and Operating Model</w:t>
      </w:r>
    </w:p>
    <w:p>
      <w:pPr>
        <w:widowControl/>
      </w:pPr>
      <w:r>
        <w:rPr>
          <w:rFonts w:ascii="Mendl Sans Dusk Regular" w:hAnsi="Mendl Sans Dusk Regular" w:eastAsia="Mendl Sans Dusk Regular" w:cs="Mendl Sans Dusk Regular"/>
          <w:b w:val="0"/>
          <w:color w:val="202723"/>
          <w:sz w:val="21"/>
        </w:rPr>
        <w:t>The CHNAV (Chief Navigation Officer) directs the department. The CHNAV bridges the gap between the Sales Commander and the Senior Estimator by ensuring the Sales Strategy is followed. The Sales Commander develops relationships and qualified bid opportunities with banks, architects, engineers and other client partners. The Senior Estimator develops the estimate and proposal basis.</w:t>
      </w:r>
    </w:p>
    <w:p>
      <w:pPr>
        <w:widowControl/>
      </w:pPr>
      <w:r>
        <w:rPr>
          <w:rFonts w:ascii="Mendl Sans Dusk Regular" w:hAnsi="Mendl Sans Dusk Regular" w:eastAsia="Mendl Sans Dusk Regular" w:cs="Mendl Sans Dusk Regular"/>
          <w:b w:val="0"/>
          <w:color w:val="202723"/>
          <w:sz w:val="21"/>
        </w:rPr>
        <w:t>Sales and estimating at MH Construction exists to qualify the right work, define scope with discipline, and deliver proposals that operations can execute without ambiguity. The operating model is anchored by:</w:t>
      </w:r>
    </w:p>
    <w:p>
      <w:pPr>
        <w:widowControl/>
      </w:pPr>
      <w:r>
        <w:rPr>
          <w:rFonts w:ascii="Mendl Sans Dusk Regular" w:hAnsi="Mendl Sans Dusk Regular" w:eastAsia="Mendl Sans Dusk Regular" w:cs="Mendl Sans Dusk Regular"/>
          <w:b w:val="0"/>
          <w:color w:val="202723"/>
          <w:sz w:val="21"/>
        </w:rPr>
        <w:t>Ground Truth Estimating: use validated site conditions, documented assumptions, and current stakeholder input, not optimism.</w:t>
      </w:r>
    </w:p>
    <w:p>
      <w:pPr>
        <w:widowControl/>
      </w:pPr>
      <w:r>
        <w:rPr>
          <w:rFonts w:ascii="Mendl Sans Dusk Regular" w:hAnsi="Mendl Sans Dusk Regular" w:eastAsia="Mendl Sans Dusk Regular" w:cs="Mendl Sans Dusk Regular"/>
          <w:b w:val="0"/>
          <w:color w:val="202723"/>
          <w:sz w:val="21"/>
        </w:rPr>
        <w:t>Zero-Gap Accountability: make sure the field reality, estimate structure, and Client Partner expectation all agree before the contract is signed.</w:t>
      </w:r>
    </w:p>
    <w:p>
      <w:pPr>
        <w:widowControl/>
      </w:pPr>
      <w:r>
        <w:rPr>
          <w:rFonts w:ascii="Mendl Sans Dusk Regular" w:hAnsi="Mendl Sans Dusk Regular" w:eastAsia="Mendl Sans Dusk Regular" w:cs="Mendl Sans Dusk Regular"/>
          <w:b w:val="0"/>
          <w:color w:val="202723"/>
          <w:sz w:val="21"/>
        </w:rPr>
        <w:t>Handshake Pride: build relationships around trust, transparency, and verified performance.</w:t>
      </w:r>
    </w:p>
    <w:p>
      <w:pPr>
        <w:widowControl/>
      </w:pPr>
      <w:r>
        <w:rPr>
          <w:rFonts w:ascii="Mendl Sans Dusk Regular" w:hAnsi="Mendl Sans Dusk Regular" w:eastAsia="Mendl Sans Dusk Regular" w:cs="Mendl Sans Dusk Regular"/>
          <w:b w:val="0"/>
          <w:color w:val="202723"/>
          <w:sz w:val="21"/>
        </w:rPr>
        <w:t>Mission-Ready Handoff: package the awarded work so project management inherits clear scope, clean assumptions, and an understandable decision trail.</w:t>
      </w:r>
    </w:p>
    <w:p>
      <w:pPr>
        <w:widowControl/>
      </w:pPr>
      <w:r>
        <w:rPr>
          <w:rFonts w:ascii="Mendl Sans Dusk Regular" w:hAnsi="Mendl Sans Dusk Regular" w:eastAsia="Mendl Sans Dusk Regular" w:cs="Mendl Sans Dusk Regular"/>
          <w:b w:val="0"/>
          <w:color w:val="202723"/>
          <w:sz w:val="21"/>
        </w:rPr>
        <w:t>These principles should lead to the MH end state: trust. Proposal language should favor clear scope, accountable delivery, dependable follow-through, and honest risk communication over aggressive sales language.</w:t>
      </w:r>
    </w:p>
    <w:p>
      <w:pPr>
        <w:pStyle w:val="Heading2"/>
        <w:widowControl/>
      </w:pPr>
      <w:r>
        <w:rPr>
          <w:rFonts w:ascii="Mendl Sans Dusk Medium" w:hAnsi="Mendl Sans Dusk Medium" w:eastAsia="Mendl Sans Dusk Medium" w:cs="Mendl Sans Dusk Medium"/>
          <w:b/>
          <w:color w:val="628F79"/>
          <w:sz w:val="26"/>
        </w:rPr>
        <w:t>SE-03.0 | Command Controls and Approval Matrix</w:t>
      </w:r>
    </w:p>
    <w:p>
      <w:pPr>
        <w:widowControl/>
      </w:pPr>
      <w:r>
        <w:rPr>
          <w:rFonts w:ascii="Mendl Sans Dusk Regular" w:hAnsi="Mendl Sans Dusk Regular" w:eastAsia="Mendl Sans Dusk Regular" w:cs="Mendl Sans Dusk Regular"/>
          <w:b w:val="0"/>
          <w:color w:val="202723"/>
          <w:sz w:val="21"/>
        </w:rPr>
        <w:t>To protect the enterprise from financial exposure, all estimates, proposals, and post-contract change orders must follow the approval matrix before being presented to a Client Partner. The canonical approval authority baseline lives in the Pursuit and Handoff Parameters.</w:t>
      </w:r>
    </w:p>
    <w:p>
      <w:pPr>
        <w:pStyle w:val="Heading3"/>
        <w:widowControl/>
      </w:pPr>
      <w:r>
        <w:rPr>
          <w:rFonts w:ascii="Mendl Sans Dusk Medium" w:hAnsi="Mendl Sans Dusk Medium" w:eastAsia="Mendl Sans Dusk Medium" w:cs="Mendl Sans Dusk Medium"/>
          <w:b/>
          <w:color w:val="1E392C"/>
          <w:sz w:val="23"/>
        </w:rPr>
        <w:t>Section 3.1: Pre-Award Proposal Approval</w:t>
      </w:r>
    </w:p>
    <w:tbl>
      <w:tblPr>
        <w:tblStyle w:val="TableGrid"/>
        <w:tblW w:type="auto" w:w="0"/>
        <w:jc w:val="left"/>
        <w:tblLayout w:type="fixed"/>
        <w:tblLook w:firstColumn="1" w:firstRow="1" w:lastColumn="0" w:lastRow="0" w:noHBand="0" w:noVBand="1" w:val="04A0"/>
      </w:tblPr>
      <w:tblGrid>
        <w:gridCol w:w="4939"/>
        <w:gridCol w:w="4939"/>
      </w:tblGrid>
      <w:tr>
        <w:tc>
          <w:tcPr>
            <w:tcW w:type="dxa" w:w="2592"/>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Value</w:t>
            </w:r>
          </w:p>
        </w:tc>
        <w:tc>
          <w:tcPr>
            <w:tcW w:type="dxa" w:w="6768"/>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Required Approval Authority</w:t>
            </w:r>
          </w:p>
        </w:tc>
      </w:tr>
      <w:tr>
        <w:tc>
          <w:tcPr>
            <w:tcW w:type="dxa" w:w="2592"/>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Under $25,000</w:t>
            </w:r>
          </w:p>
        </w:tc>
        <w:tc>
          <w:tcPr>
            <w:tcW w:type="dxa" w:w="6768"/>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Project Manager (Alpha, Bravo, or Charlie Wing)</w:t>
            </w:r>
          </w:p>
        </w:tc>
      </w:tr>
      <w:tr>
        <w:tc>
          <w:tcPr>
            <w:tcW w:type="dxa" w:w="2592"/>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$25,000 to $50,000</w:t>
            </w:r>
          </w:p>
        </w:tc>
        <w:tc>
          <w:tcPr>
            <w:tcW w:type="dxa" w:w="6768"/>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Chief Operating Officer (COO)</w:t>
            </w:r>
          </w:p>
        </w:tc>
      </w:tr>
      <w:tr>
        <w:tc>
          <w:tcPr>
            <w:tcW w:type="dxa" w:w="2592"/>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Over $50,000</w:t>
            </w:r>
          </w:p>
        </w:tc>
        <w:tc>
          <w:tcPr>
            <w:tcW w:type="dxa" w:w="6768"/>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President and CEO (CEO)</w:t>
            </w:r>
          </w:p>
        </w:tc>
      </w:tr>
    </w:tbl>
    <w:p>
      <w:pPr>
        <w:widowControl/>
        <w:spacing w:after="20"/>
      </w:pPr>
    </w:p>
    <w:p>
      <w:pPr>
        <w:pStyle w:val="Heading3"/>
        <w:widowControl/>
      </w:pPr>
      <w:r>
        <w:rPr>
          <w:rFonts w:ascii="Mendl Sans Dusk Medium" w:hAnsi="Mendl Sans Dusk Medium" w:eastAsia="Mendl Sans Dusk Medium" w:cs="Mendl Sans Dusk Medium"/>
          <w:b/>
          <w:color w:val="1E392C"/>
          <w:sz w:val="23"/>
        </w:rPr>
        <w:t>Section 3.2: Post-Award Change Order Approval</w:t>
      </w:r>
    </w:p>
    <w:p>
      <w:pPr>
        <w:widowControl/>
      </w:pPr>
      <w:r>
        <w:rPr>
          <w:rFonts w:ascii="Mendl Sans Dusk Regular" w:hAnsi="Mendl Sans Dusk Regular" w:eastAsia="Mendl Sans Dusk Regular" w:cs="Mendl Sans Dusk Regular"/>
          <w:b w:val="0"/>
          <w:color w:val="202723"/>
          <w:sz w:val="21"/>
        </w:rPr>
        <w:t>Change orders issued after contract execution follow the same value thresholds as pre-award proposals. The PM documents the change order in Procore, routes it through the approval matrix, and obtains Client Partner written acceptance before any additional scope work begins. No verbal change orders are binding.</w:t>
      </w:r>
    </w:p>
    <w:tbl>
      <w:tblPr>
        <w:tblStyle w:val="TableGrid"/>
        <w:tblW w:type="auto" w:w="0"/>
        <w:jc w:val="left"/>
        <w:tblLayout w:type="fixed"/>
        <w:tblLook w:firstColumn="1" w:firstRow="1" w:lastColumn="0" w:lastRow="0" w:noHBand="0" w:noVBand="1" w:val="04A0"/>
      </w:tblPr>
      <w:tblGrid>
        <w:gridCol w:w="3293"/>
        <w:gridCol w:w="3293"/>
        <w:gridCol w:w="3293"/>
      </w:tblGrid>
      <w:tr>
        <w:tc>
          <w:tcPr>
            <w:tcW w:type="dxa" w:w="1685"/>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Change Order Value</w:t>
            </w:r>
          </w:p>
        </w:tc>
        <w:tc>
          <w:tcPr>
            <w:tcW w:type="dxa" w:w="2527"/>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Required Approval Authority</w:t>
            </w:r>
          </w:p>
        </w:tc>
        <w:tc>
          <w:tcPr>
            <w:tcW w:type="dxa" w:w="5148"/>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Documentation Required</w:t>
            </w:r>
          </w:p>
        </w:tc>
      </w:tr>
      <w:tr>
        <w:tc>
          <w:tcPr>
            <w:tcW w:type="dxa" w:w="1685"/>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Under $25,000</w:t>
            </w:r>
          </w:p>
        </w:tc>
        <w:tc>
          <w:tcPr>
            <w:tcW w:type="dxa" w:w="252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PM approval</w:t>
            </w:r>
          </w:p>
        </w:tc>
        <w:tc>
          <w:tcPr>
            <w:tcW w:type="dxa" w:w="5148"/>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Procore CEO record + Client Partner written acceptance</w:t>
            </w:r>
          </w:p>
        </w:tc>
      </w:tr>
      <w:tr>
        <w:tc>
          <w:tcPr>
            <w:tcW w:type="dxa" w:w="1685"/>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$25,000 to $50,000</w:t>
            </w:r>
          </w:p>
        </w:tc>
        <w:tc>
          <w:tcPr>
            <w:tcW w:type="dxa" w:w="2527"/>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COO approval</w:t>
            </w:r>
          </w:p>
        </w:tc>
        <w:tc>
          <w:tcPr>
            <w:tcW w:type="dxa" w:w="5148"/>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Procore CEO record + COO sign-off + Client Partner written acceptance</w:t>
            </w:r>
          </w:p>
        </w:tc>
      </w:tr>
      <w:tr>
        <w:tc>
          <w:tcPr>
            <w:tcW w:type="dxa" w:w="1685"/>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Over $50,000</w:t>
            </w:r>
          </w:p>
        </w:tc>
        <w:tc>
          <w:tcPr>
            <w:tcW w:type="dxa" w:w="252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CEO approval</w:t>
            </w:r>
          </w:p>
        </w:tc>
        <w:tc>
          <w:tcPr>
            <w:tcW w:type="dxa" w:w="5148"/>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Procore CEO record + CEO sign-off + Client Partner written acceptance</w:t>
            </w:r>
          </w:p>
        </w:tc>
      </w:tr>
    </w:tbl>
    <w:p>
      <w:pPr>
        <w:widowControl/>
        <w:spacing w:after="20"/>
      </w:pPr>
    </w:p>
    <w:p>
      <w:pPr>
        <w:pStyle w:val="Heading3"/>
        <w:widowControl/>
      </w:pPr>
      <w:r>
        <w:rPr>
          <w:rFonts w:ascii="Mendl Sans Dusk Medium" w:hAnsi="Mendl Sans Dusk Medium" w:eastAsia="Mendl Sans Dusk Medium" w:cs="Mendl Sans Dusk Medium"/>
          <w:b/>
          <w:color w:val="1E392C"/>
          <w:sz w:val="23"/>
        </w:rPr>
        <w:t>Section 3.3: RFI and RFQ Response Authority</w:t>
      </w:r>
    </w:p>
    <w:p>
      <w:pPr>
        <w:widowControl/>
      </w:pPr>
      <w:r>
        <w:rPr>
          <w:rFonts w:ascii="Mendl Sans Dusk Regular" w:hAnsi="Mendl Sans Dusk Regular" w:eastAsia="Mendl Sans Dusk Regular" w:cs="Mendl Sans Dusk Regular"/>
          <w:b w:val="0"/>
          <w:color w:val="202723"/>
          <w:sz w:val="21"/>
        </w:rPr>
        <w:t>Responses to formal RFIs (Requests for Information) and RFQs (Requests for Qualifications) from public agencies or institutional clients require CEO review before submission. The CHNAV coordinates the response package and routes it through the CEO at least 48 hours before the submission deadline.</w:t>
      </w:r>
    </w:p>
    <w:p>
      <w:pPr>
        <w:pStyle w:val="Heading2"/>
        <w:widowControl/>
      </w:pPr>
      <w:r>
        <w:rPr>
          <w:rFonts w:ascii="Mendl Sans Dusk Medium" w:hAnsi="Mendl Sans Dusk Medium" w:eastAsia="Mendl Sans Dusk Medium" w:cs="Mendl Sans Dusk Medium"/>
          <w:b/>
          <w:color w:val="628F79"/>
          <w:sz w:val="26"/>
        </w:rPr>
        <w:t>SE-04.0 | The 6-Step Preconstruction Workflow</w:t>
      </w:r>
    </w:p>
    <w:p>
      <w:pPr>
        <w:widowControl/>
      </w:pPr>
      <w:r>
        <w:rPr>
          <w:rFonts w:ascii="Mendl Sans Dusk Regular" w:hAnsi="Mendl Sans Dusk Regular" w:eastAsia="Mendl Sans Dusk Regular" w:cs="Mendl Sans Dusk Regular"/>
          <w:b w:val="0"/>
          <w:color w:val="202723"/>
          <w:sz w:val="21"/>
        </w:rPr>
        <w:t>These six steps define how MH moves from a real opportunity to a proposal that can be defended internally and executed cleanly in the field.</w:t>
      </w:r>
    </w:p>
    <w:p>
      <w:pPr>
        <w:pStyle w:val="Heading3"/>
        <w:widowControl/>
      </w:pPr>
      <w:r>
        <w:rPr>
          <w:rFonts w:ascii="Mendl Sans Dusk Medium" w:hAnsi="Mendl Sans Dusk Medium" w:eastAsia="Mendl Sans Dusk Medium" w:cs="Mendl Sans Dusk Medium"/>
          <w:b/>
          <w:color w:val="1E392C"/>
          <w:sz w:val="23"/>
        </w:rPr>
        <w:t>Section 4.1: Opportunity Qualification</w:t>
      </w:r>
    </w:p>
    <w:p>
      <w:pPr>
        <w:widowControl/>
      </w:pPr>
      <w:r>
        <w:rPr>
          <w:rFonts w:ascii="Mendl Sans Dusk Regular" w:hAnsi="Mendl Sans Dusk Regular" w:eastAsia="Mendl Sans Dusk Regular" w:cs="Mendl Sans Dusk Regular"/>
          <w:b w:val="0"/>
          <w:color w:val="202723"/>
          <w:sz w:val="21"/>
        </w:rPr>
        <w:t>Confirm the Client Partner relationship is real and reachable.</w:t>
      </w:r>
    </w:p>
    <w:p>
      <w:pPr>
        <w:widowControl/>
      </w:pPr>
      <w:r>
        <w:rPr>
          <w:rFonts w:ascii="Mendl Sans Dusk Regular" w:hAnsi="Mendl Sans Dusk Regular" w:eastAsia="Mendl Sans Dusk Regular" w:cs="Mendl Sans Dusk Regular"/>
          <w:b w:val="0"/>
          <w:color w:val="202723"/>
          <w:sz w:val="21"/>
        </w:rPr>
        <w:t>Determine whether the project fits MH capacity, schedule, geography, and service mix.</w:t>
      </w:r>
    </w:p>
    <w:p>
      <w:pPr>
        <w:widowControl/>
      </w:pPr>
      <w:r>
        <w:rPr>
          <w:rFonts w:ascii="Mendl Sans Dusk Regular" w:hAnsi="Mendl Sans Dusk Regular" w:eastAsia="Mendl Sans Dusk Regular" w:cs="Mendl Sans Dusk Regular"/>
          <w:b w:val="0"/>
          <w:color w:val="202723"/>
          <w:sz w:val="21"/>
        </w:rPr>
        <w:t>Apply the Bid/No-Bid Decision Framework (SE 07) before committing estimating resources.</w:t>
      </w:r>
    </w:p>
    <w:p>
      <w:pPr>
        <w:widowControl/>
      </w:pPr>
      <w:r>
        <w:rPr>
          <w:rFonts w:ascii="Mendl Sans Dusk Regular" w:hAnsi="Mendl Sans Dusk Regular" w:eastAsia="Mendl Sans Dusk Regular" w:cs="Mendl Sans Dusk Regular"/>
          <w:b w:val="0"/>
          <w:color w:val="202723"/>
          <w:sz w:val="21"/>
        </w:rPr>
        <w:t>Identify who holds decision authority and who is influencing the decision.</w:t>
      </w:r>
    </w:p>
    <w:p>
      <w:pPr>
        <w:widowControl/>
      </w:pPr>
      <w:r>
        <w:rPr>
          <w:rFonts w:ascii="Mendl Sans Dusk Regular" w:hAnsi="Mendl Sans Dusk Regular" w:eastAsia="Mendl Sans Dusk Regular" w:cs="Mendl Sans Dusk Regular"/>
          <w:b w:val="0"/>
          <w:color w:val="202723"/>
          <w:sz w:val="21"/>
        </w:rPr>
        <w:t>Stop early when the fit, timing, or access to decision-makers is not strong enough to support a credible pursuit.</w:t>
      </w:r>
    </w:p>
    <w:p>
      <w:pPr>
        <w:widowControl/>
      </w:pPr>
      <w:r>
        <w:rPr>
          <w:rFonts w:ascii="Mendl Sans Dusk Regular" w:hAnsi="Mendl Sans Dusk Regular" w:eastAsia="Mendl Sans Dusk Regular" w:cs="Mendl Sans Dusk Regular"/>
          <w:b w:val="0"/>
          <w:color w:val="202723"/>
          <w:sz w:val="21"/>
        </w:rPr>
        <w:t>Log the opportunity in BidPilot with source tag and initial qualification notes.</w:t>
      </w:r>
    </w:p>
    <w:p>
      <w:pPr>
        <w:pStyle w:val="Heading3"/>
        <w:widowControl/>
      </w:pPr>
      <w:r>
        <w:rPr>
          <w:rFonts w:ascii="Mendl Sans Dusk Medium" w:hAnsi="Mendl Sans Dusk Medium" w:eastAsia="Mendl Sans Dusk Medium" w:cs="Mendl Sans Dusk Medium"/>
          <w:b/>
          <w:color w:val="1E392C"/>
          <w:sz w:val="23"/>
        </w:rPr>
        <w:t>Section 4.2: Mission Parameters and Scope</w:t>
      </w:r>
    </w:p>
    <w:p>
      <w:pPr>
        <w:widowControl/>
      </w:pPr>
      <w:r>
        <w:rPr>
          <w:rFonts w:ascii="Mendl Sans Dusk Regular" w:hAnsi="Mendl Sans Dusk Regular" w:eastAsia="Mendl Sans Dusk Regular" w:cs="Mendl Sans Dusk Regular"/>
          <w:b w:val="0"/>
          <w:color w:val="202723"/>
          <w:sz w:val="21"/>
        </w:rPr>
        <w:t>Replace generic scope language with explicit Mission Parameters.</w:t>
      </w:r>
    </w:p>
    <w:p>
      <w:pPr>
        <w:widowControl/>
      </w:pPr>
      <w:r>
        <w:rPr>
          <w:rFonts w:ascii="Mendl Sans Dusk Regular" w:hAnsi="Mendl Sans Dusk Regular" w:eastAsia="Mendl Sans Dusk Regular" w:cs="Mendl Sans Dusk Regular"/>
          <w:b w:val="0"/>
          <w:color w:val="202723"/>
          <w:sz w:val="21"/>
        </w:rPr>
        <w:t>Define inclusions, exclusions, assumptions, clarifications, allowances, and alternates.</w:t>
      </w:r>
    </w:p>
    <w:p>
      <w:pPr>
        <w:widowControl/>
      </w:pPr>
      <w:r>
        <w:rPr>
          <w:rFonts w:ascii="Mendl Sans Dusk Regular" w:hAnsi="Mendl Sans Dusk Regular" w:eastAsia="Mendl Sans Dusk Regular" w:cs="Mendl Sans Dusk Regular"/>
          <w:b w:val="0"/>
          <w:color w:val="202723"/>
          <w:sz w:val="21"/>
        </w:rPr>
        <w:t>Request site verification, spatial capture, or additional design input when site conditions are not yet clear.</w:t>
      </w:r>
    </w:p>
    <w:p>
      <w:pPr>
        <w:widowControl/>
      </w:pPr>
      <w:r>
        <w:rPr>
          <w:rFonts w:ascii="Mendl Sans Dusk Regular" w:hAnsi="Mendl Sans Dusk Regular" w:eastAsia="Mendl Sans Dusk Regular" w:cs="Mendl Sans Dusk Regular"/>
          <w:b w:val="0"/>
          <w:color w:val="202723"/>
          <w:sz w:val="21"/>
        </w:rPr>
        <w:t>Tie every major assumption back to a visible project condition or known requirement.</w:t>
      </w:r>
    </w:p>
    <w:p>
      <w:pPr>
        <w:widowControl/>
      </w:pPr>
      <w:r>
        <w:rPr>
          <w:rFonts w:ascii="Mendl Sans Dusk Regular" w:hAnsi="Mendl Sans Dusk Regular" w:eastAsia="Mendl Sans Dusk Regular" w:cs="Mendl Sans Dusk Regular"/>
          <w:b w:val="0"/>
          <w:color w:val="202723"/>
          <w:sz w:val="21"/>
        </w:rPr>
        <w:t>Write the scope so leadership, operations, and the owner can all understand where responsibility begins and ends.</w:t>
      </w:r>
    </w:p>
    <w:p>
      <w:pPr>
        <w:pStyle w:val="Heading3"/>
        <w:widowControl/>
      </w:pPr>
      <w:r>
        <w:rPr>
          <w:rFonts w:ascii="Mendl Sans Dusk Medium" w:hAnsi="Mendl Sans Dusk Medium" w:eastAsia="Mendl Sans Dusk Medium" w:cs="Mendl Sans Dusk Medium"/>
          <w:b/>
          <w:color w:val="1E392C"/>
          <w:sz w:val="23"/>
        </w:rPr>
        <w:t>Section 4.3: Trade Partner Qualification</w:t>
      </w:r>
    </w:p>
    <w:p>
      <w:pPr>
        <w:widowControl/>
      </w:pPr>
      <w:r>
        <w:rPr>
          <w:rFonts w:ascii="Mendl Sans Dusk Regular" w:hAnsi="Mendl Sans Dusk Regular" w:eastAsia="Mendl Sans Dusk Regular" w:cs="Mendl Sans Dusk Regular"/>
          <w:b w:val="0"/>
          <w:color w:val="202723"/>
          <w:sz w:val="21"/>
        </w:rPr>
        <w:t>Vet Trade Partners for safety records, financial stability, capacity, and values alignment.</w:t>
      </w:r>
    </w:p>
    <w:p>
      <w:pPr>
        <w:widowControl/>
      </w:pPr>
      <w:r>
        <w:rPr>
          <w:rFonts w:ascii="Mendl Sans Dusk Regular" w:hAnsi="Mendl Sans Dusk Regular" w:eastAsia="Mendl Sans Dusk Regular" w:cs="Mendl Sans Dusk Regular"/>
          <w:b w:val="0"/>
          <w:color w:val="202723"/>
          <w:sz w:val="21"/>
        </w:rPr>
        <w:t>Verify current insurance certificates (GL, Workers Comp, Auto) and confirm MH Construction is listed as additional insured.</w:t>
      </w:r>
    </w:p>
    <w:p>
      <w:pPr>
        <w:widowControl/>
      </w:pPr>
      <w:r>
        <w:rPr>
          <w:rFonts w:ascii="Mendl Sans Dusk Regular" w:hAnsi="Mendl Sans Dusk Regular" w:eastAsia="Mendl Sans Dusk Regular" w:cs="Mendl Sans Dusk Regular"/>
          <w:b w:val="0"/>
          <w:color w:val="202723"/>
          <w:sz w:val="21"/>
        </w:rPr>
        <w:t>Confirm Trade Partner holds all required state licenses for the project jurisdiction (WA, OR, or ID).</w:t>
      </w:r>
    </w:p>
    <w:p>
      <w:pPr>
        <w:widowControl/>
      </w:pPr>
      <w:r>
        <w:rPr>
          <w:rFonts w:ascii="Mendl Sans Dusk Regular" w:hAnsi="Mendl Sans Dusk Regular" w:eastAsia="Mendl Sans Dusk Regular" w:cs="Mendl Sans Dusk Regular"/>
          <w:b w:val="0"/>
          <w:color w:val="202723"/>
          <w:sz w:val="21"/>
        </w:rPr>
        <w:t>Make sure each Trade Partner understands the MHC safety, quality, and communication standard before contracting begins.</w:t>
      </w:r>
    </w:p>
    <w:p>
      <w:pPr>
        <w:widowControl/>
      </w:pPr>
      <w:r>
        <w:rPr>
          <w:rFonts w:ascii="Mendl Sans Dusk Regular" w:hAnsi="Mendl Sans Dusk Regular" w:eastAsia="Mendl Sans Dusk Regular" w:cs="Mendl Sans Dusk Regular"/>
          <w:b w:val="0"/>
          <w:color w:val="202723"/>
          <w:sz w:val="21"/>
        </w:rPr>
        <w:t>Use the referral and qualification process to protect both schedule and reputation.</w:t>
      </w:r>
    </w:p>
    <w:p>
      <w:pPr>
        <w:widowControl/>
      </w:pPr>
      <w:r>
        <w:rPr>
          <w:rFonts w:ascii="Mendl Sans Dusk Regular" w:hAnsi="Mendl Sans Dusk Regular" w:eastAsia="Mendl Sans Dusk Regular" w:cs="Mendl Sans Dusk Regular"/>
          <w:b w:val="0"/>
          <w:color w:val="202723"/>
          <w:sz w:val="21"/>
        </w:rPr>
        <w:t>Favor Trade Partners who strengthen accountability, communicate clearly, and can support the pace and standard of the work.</w:t>
      </w:r>
    </w:p>
    <w:p>
      <w:pPr>
        <w:pStyle w:val="Heading3"/>
        <w:widowControl/>
      </w:pPr>
      <w:r>
        <w:rPr>
          <w:rFonts w:ascii="Mendl Sans Dusk Medium" w:hAnsi="Mendl Sans Dusk Medium" w:eastAsia="Mendl Sans Dusk Medium" w:cs="Mendl Sans Dusk Medium"/>
          <w:b/>
          <w:color w:val="1E392C"/>
          <w:sz w:val="23"/>
        </w:rPr>
        <w:t>Section 4.4: Estimate Development Standard</w:t>
      </w:r>
    </w:p>
    <w:p>
      <w:pPr>
        <w:widowControl/>
      </w:pPr>
      <w:r>
        <w:rPr>
          <w:rFonts w:ascii="Mendl Sans Dusk Regular" w:hAnsi="Mendl Sans Dusk Regular" w:eastAsia="Mendl Sans Dusk Regular" w:cs="Mendl Sans Dusk Regular"/>
          <w:b w:val="0"/>
          <w:color w:val="202723"/>
          <w:sz w:val="21"/>
        </w:rPr>
        <w:t>Build the estimate in a disciplined format using approved cost logic and supporting assumptions.</w:t>
      </w:r>
    </w:p>
    <w:p>
      <w:pPr>
        <w:widowControl/>
      </w:pPr>
      <w:r>
        <w:rPr>
          <w:rFonts w:ascii="Mendl Sans Dusk Regular" w:hAnsi="Mendl Sans Dusk Regular" w:eastAsia="Mendl Sans Dusk Regular" w:cs="Mendl Sans Dusk Regular"/>
          <w:b w:val="0"/>
          <w:color w:val="202723"/>
          <w:sz w:val="21"/>
        </w:rPr>
        <w:t>Include labor, materials, equipment, safety overhead, and marketing-related cost codes where applicable.</w:t>
      </w:r>
    </w:p>
    <w:p>
      <w:pPr>
        <w:widowControl/>
      </w:pPr>
      <w:r>
        <w:rPr>
          <w:rFonts w:ascii="Mendl Sans Dusk Regular" w:hAnsi="Mendl Sans Dusk Regular" w:eastAsia="Mendl Sans Dusk Regular" w:cs="Mendl Sans Dusk Regular"/>
          <w:b w:val="0"/>
          <w:color w:val="202723"/>
          <w:sz w:val="21"/>
        </w:rPr>
        <w:t>Include a contingency line item. Standard contingency is 5-10% of direct costs; document the basis for the selected percentage.</w:t>
      </w:r>
    </w:p>
    <w:p>
      <w:pPr>
        <w:widowControl/>
      </w:pPr>
      <w:r>
        <w:rPr>
          <w:rFonts w:ascii="Mendl Sans Dusk Regular" w:hAnsi="Mendl Sans Dusk Regular" w:eastAsia="Mendl Sans Dusk Regular" w:cs="Mendl Sans Dusk Regular"/>
          <w:b w:val="0"/>
          <w:color w:val="202723"/>
          <w:sz w:val="21"/>
        </w:rPr>
        <w:t>Include an escalation clause for projects with a construction period exceeding 12 months or with significant material price exposure.</w:t>
      </w:r>
    </w:p>
    <w:p>
      <w:pPr>
        <w:widowControl/>
      </w:pPr>
      <w:r>
        <w:rPr>
          <w:rFonts w:ascii="Mendl Sans Dusk Regular" w:hAnsi="Mendl Sans Dusk Regular" w:eastAsia="Mendl Sans Dusk Regular" w:cs="Mendl Sans Dusk Regular"/>
          <w:b w:val="0"/>
          <w:color w:val="202723"/>
          <w:sz w:val="21"/>
        </w:rPr>
        <w:t>Keep the estimate transparent enough that leadership can explain it later without guesswork.</w:t>
      </w:r>
    </w:p>
    <w:p>
      <w:pPr>
        <w:widowControl/>
      </w:pPr>
      <w:r>
        <w:rPr>
          <w:rFonts w:ascii="Mendl Sans Dusk Regular" w:hAnsi="Mendl Sans Dusk Regular" w:eastAsia="Mendl Sans Dusk Regular" w:cs="Mendl Sans Dusk Regular"/>
          <w:b w:val="0"/>
          <w:color w:val="202723"/>
          <w:sz w:val="21"/>
        </w:rPr>
        <w:t>If a number cannot be defended with visible logic, revise it before it reaches leadership or the owner.</w:t>
      </w:r>
    </w:p>
    <w:p>
      <w:pPr>
        <w:pStyle w:val="Heading3"/>
        <w:widowControl/>
      </w:pPr>
      <w:r>
        <w:rPr>
          <w:rFonts w:ascii="Mendl Sans Dusk Medium" w:hAnsi="Mendl Sans Dusk Medium" w:eastAsia="Mendl Sans Dusk Medium" w:cs="Mendl Sans Dusk Medium"/>
          <w:b/>
          <w:color w:val="1E392C"/>
          <w:sz w:val="23"/>
        </w:rPr>
        <w:t>Section 4.5: Proposal Presentation</w:t>
      </w:r>
    </w:p>
    <w:p>
      <w:pPr>
        <w:widowControl/>
      </w:pPr>
      <w:r>
        <w:rPr>
          <w:rFonts w:ascii="Mendl Sans Dusk Regular" w:hAnsi="Mendl Sans Dusk Regular" w:eastAsia="Mendl Sans Dusk Regular" w:cs="Mendl Sans Dusk Regular"/>
          <w:b w:val="0"/>
          <w:color w:val="202723"/>
          <w:sz w:val="21"/>
        </w:rPr>
        <w:t>Keep proposals clean, professional, and easy to review.</w:t>
      </w:r>
    </w:p>
    <w:p>
      <w:pPr>
        <w:widowControl/>
      </w:pPr>
      <w:r>
        <w:rPr>
          <w:rFonts w:ascii="Mendl Sans Dusk Regular" w:hAnsi="Mendl Sans Dusk Regular" w:eastAsia="Mendl Sans Dusk Regular" w:cs="Mendl Sans Dusk Regular"/>
          <w:b w:val="0"/>
          <w:color w:val="202723"/>
          <w:sz w:val="21"/>
        </w:rPr>
        <w:t>Use plain language that explains value and risk clearly.</w:t>
      </w:r>
    </w:p>
    <w:p>
      <w:pPr>
        <w:widowControl/>
      </w:pPr>
      <w:r>
        <w:rPr>
          <w:rFonts w:ascii="Mendl Sans Dusk Regular" w:hAnsi="Mendl Sans Dusk Regular" w:eastAsia="Mendl Sans Dusk Regular" w:cs="Mendl Sans Dusk Regular"/>
          <w:b w:val="0"/>
          <w:color w:val="202723"/>
          <w:sz w:val="21"/>
        </w:rPr>
        <w:t>Define the Rules of Engagement, scope clarifications, and any conditions that affect the offer.</w:t>
      </w:r>
    </w:p>
    <w:p>
      <w:pPr>
        <w:widowControl/>
      </w:pPr>
      <w:r>
        <w:rPr>
          <w:rFonts w:ascii="Mendl Sans Dusk Regular" w:hAnsi="Mendl Sans Dusk Regular" w:eastAsia="Mendl Sans Dusk Regular" w:cs="Mendl Sans Dusk Regular"/>
          <w:b w:val="0"/>
          <w:color w:val="202723"/>
          <w:sz w:val="21"/>
        </w:rPr>
        <w:t>Present the proposal as a partnership rather than a transaction.</w:t>
      </w:r>
    </w:p>
    <w:p>
      <w:pPr>
        <w:widowControl/>
      </w:pPr>
      <w:r>
        <w:rPr>
          <w:rFonts w:ascii="Mendl Sans Dusk Regular" w:hAnsi="Mendl Sans Dusk Regular" w:eastAsia="Mendl Sans Dusk Regular" w:cs="Mendl Sans Dusk Regular"/>
          <w:b w:val="0"/>
          <w:color w:val="202723"/>
          <w:sz w:val="21"/>
        </w:rPr>
        <w:t>Make it easy for the owner to understand what is included, what is excluded, and what decisions still need to be made.</w:t>
      </w:r>
    </w:p>
    <w:p>
      <w:pPr>
        <w:widowControl/>
      </w:pPr>
      <w:r>
        <w:rPr>
          <w:rFonts w:ascii="Mendl Sans Dusk Regular" w:hAnsi="Mendl Sans Dusk Regular" w:eastAsia="Mendl Sans Dusk Regular" w:cs="Mendl Sans Dusk Regular"/>
          <w:b w:val="0"/>
          <w:color w:val="202723"/>
          <w:sz w:val="21"/>
        </w:rPr>
        <w:t>Include MH Construction's WA, OR, and ID license numbers on all formal proposals.</w:t>
      </w:r>
    </w:p>
    <w:p>
      <w:pPr>
        <w:pStyle w:val="Heading3"/>
        <w:widowControl/>
      </w:pPr>
      <w:r>
        <w:rPr>
          <w:rFonts w:ascii="Mendl Sans Dusk Medium" w:hAnsi="Mendl Sans Dusk Medium" w:eastAsia="Mendl Sans Dusk Medium" w:cs="Mendl Sans Dusk Medium"/>
          <w:b/>
          <w:color w:val="1E392C"/>
          <w:sz w:val="23"/>
        </w:rPr>
        <w:t>Section 4.6: Operations Brief and Handoff</w:t>
      </w:r>
    </w:p>
    <w:p>
      <w:pPr>
        <w:widowControl/>
      </w:pPr>
      <w:r>
        <w:rPr>
          <w:rFonts w:ascii="Mendl Sans Dusk Regular" w:hAnsi="Mendl Sans Dusk Regular" w:eastAsia="Mendl Sans Dusk Regular" w:cs="Mendl Sans Dusk Regular"/>
          <w:b w:val="0"/>
          <w:color w:val="202723"/>
          <w:sz w:val="21"/>
        </w:rPr>
        <w:t>Lead the formal operations brief upon award.</w:t>
      </w:r>
    </w:p>
    <w:p>
      <w:pPr>
        <w:widowControl/>
      </w:pPr>
      <w:r>
        <w:rPr>
          <w:rFonts w:ascii="Mendl Sans Dusk Regular" w:hAnsi="Mendl Sans Dusk Regular" w:eastAsia="Mendl Sans Dusk Regular" w:cs="Mendl Sans Dusk Regular"/>
          <w:b w:val="0"/>
          <w:color w:val="202723"/>
          <w:sz w:val="21"/>
        </w:rPr>
        <w:t>Transfer Mission Parameters, Ground Truth intelligence, and approved assumptions to the COO and the project management teams.</w:t>
      </w:r>
    </w:p>
    <w:p>
      <w:pPr>
        <w:widowControl/>
      </w:pPr>
      <w:r>
        <w:rPr>
          <w:rFonts w:ascii="Mendl Sans Dusk Regular" w:hAnsi="Mendl Sans Dusk Regular" w:eastAsia="Mendl Sans Dusk Regular" w:cs="Mendl Sans Dusk Regular"/>
          <w:b w:val="0"/>
          <w:color w:val="202723"/>
          <w:sz w:val="21"/>
        </w:rPr>
        <w:t>Coordinate the handoff with marketing (CHENG) so public narrative and stakeholder communications remain aligned. See MG 09 for the marketing trigger protocol.</w:t>
      </w:r>
    </w:p>
    <w:p>
      <w:pPr>
        <w:widowControl/>
      </w:pPr>
      <w:r>
        <w:rPr>
          <w:rFonts w:ascii="Mendl Sans Dusk Regular" w:hAnsi="Mendl Sans Dusk Regular" w:eastAsia="Mendl Sans Dusk Regular" w:cs="Mendl Sans Dusk Regular"/>
          <w:b w:val="0"/>
          <w:color w:val="202723"/>
          <w:sz w:val="21"/>
        </w:rPr>
        <w:t>Treat the handoff as a continuity event, not an administrative file transfer.</w:t>
      </w:r>
    </w:p>
    <w:p>
      <w:pPr>
        <w:widowControl/>
      </w:pPr>
      <w:r>
        <w:rPr>
          <w:rFonts w:ascii="Mendl Sans Dusk Regular" w:hAnsi="Mendl Sans Dusk Regular" w:eastAsia="Mendl Sans Dusk Regular" w:cs="Mendl Sans Dusk Regular"/>
          <w:b w:val="0"/>
          <w:color w:val="202723"/>
          <w:sz w:val="21"/>
        </w:rPr>
        <w:t>Update the project record in Procore and BidPilot to reflect awarded status within two business days of contract execution.</w:t>
      </w:r>
    </w:p>
    <w:p>
      <w:pPr>
        <w:pStyle w:val="Heading2"/>
        <w:widowControl/>
      </w:pPr>
      <w:r>
        <w:rPr>
          <w:rFonts w:ascii="Mendl Sans Dusk Medium" w:hAnsi="Mendl Sans Dusk Medium" w:eastAsia="Mendl Sans Dusk Medium" w:cs="Mendl Sans Dusk Medium"/>
          <w:b/>
          <w:color w:val="628F79"/>
          <w:sz w:val="26"/>
        </w:rPr>
        <w:t>SE-05.0 | Trade Partner Relations</w:t>
      </w:r>
    </w:p>
    <w:p>
      <w:pPr>
        <w:widowControl/>
      </w:pPr>
      <w:r>
        <w:rPr>
          <w:rFonts w:ascii="Mendl Sans Dusk Regular" w:hAnsi="Mendl Sans Dusk Regular" w:eastAsia="Mendl Sans Dusk Regular" w:cs="Mendl Sans Dusk Regular"/>
          <w:b w:val="0"/>
          <w:color w:val="202723"/>
          <w:sz w:val="21"/>
        </w:rPr>
        <w:t>The sales team is often the first point of contact for local specialized Trade Partners. In branded communications, use the approved terms Trade Partner or Sub-Operator. Reserve the term subcontractor for legal and regulatory contexts when required.</w:t>
      </w:r>
    </w:p>
    <w:p>
      <w:pPr>
        <w:pStyle w:val="Heading3"/>
        <w:widowControl/>
      </w:pPr>
      <w:r>
        <w:rPr>
          <w:rFonts w:ascii="Mendl Sans Dusk Medium" w:hAnsi="Mendl Sans Dusk Medium" w:eastAsia="Mendl Sans Dusk Medium" w:cs="Mendl Sans Dusk Medium"/>
          <w:b/>
          <w:color w:val="1E392C"/>
          <w:sz w:val="23"/>
        </w:rPr>
        <w:t>Section 5.1: Relationship Standard</w:t>
      </w:r>
    </w:p>
    <w:p>
      <w:pPr>
        <w:widowControl/>
      </w:pPr>
      <w:r>
        <w:rPr>
          <w:rFonts w:ascii="Mendl Sans Dusk Regular" w:hAnsi="Mendl Sans Dusk Regular" w:eastAsia="Mendl Sans Dusk Regular" w:cs="Mendl Sans Dusk Regular"/>
          <w:b w:val="0"/>
          <w:color w:val="202723"/>
          <w:sz w:val="21"/>
        </w:rPr>
        <w:t>Treat Trade Partners with the same respect as Client Partners.</w:t>
      </w:r>
    </w:p>
    <w:p>
      <w:pPr>
        <w:widowControl/>
      </w:pPr>
      <w:r>
        <w:rPr>
          <w:rFonts w:ascii="Mendl Sans Dusk Regular" w:hAnsi="Mendl Sans Dusk Regular" w:eastAsia="Mendl Sans Dusk Regular" w:cs="Mendl Sans Dusk Regular"/>
          <w:b w:val="0"/>
          <w:color w:val="202723"/>
          <w:sz w:val="21"/>
        </w:rPr>
        <w:t>Communicate clearly that working with MH means adhering to a disciplined, safety-first standard.</w:t>
      </w:r>
    </w:p>
    <w:p>
      <w:pPr>
        <w:widowControl/>
      </w:pPr>
      <w:r>
        <w:rPr>
          <w:rFonts w:ascii="Mendl Sans Dusk Regular" w:hAnsi="Mendl Sans Dusk Regular" w:eastAsia="Mendl Sans Dusk Regular" w:cs="Mendl Sans Dusk Regular"/>
          <w:b w:val="0"/>
          <w:color w:val="202723"/>
          <w:sz w:val="21"/>
        </w:rPr>
        <w:t>Keep the relationship aligned with the same evidence-backed posture expected in Client Partner-facing work.</w:t>
      </w:r>
    </w:p>
    <w:p>
      <w:pPr>
        <w:widowControl/>
      </w:pPr>
      <w:r>
        <w:rPr>
          <w:rFonts w:ascii="Mendl Sans Dusk Regular" w:hAnsi="Mendl Sans Dusk Regular" w:eastAsia="Mendl Sans Dusk Regular" w:cs="Mendl Sans Dusk Regular"/>
          <w:b w:val="0"/>
          <w:color w:val="202723"/>
          <w:sz w:val="21"/>
        </w:rPr>
        <w:t>Protect the relationship with timely answers, honest feedback, and clean documentation.</w:t>
      </w:r>
    </w:p>
    <w:p>
      <w:pPr>
        <w:pStyle w:val="Heading3"/>
        <w:widowControl/>
      </w:pPr>
      <w:r>
        <w:rPr>
          <w:rFonts w:ascii="Mendl Sans Dusk Medium" w:hAnsi="Mendl Sans Dusk Medium" w:eastAsia="Mendl Sans Dusk Medium" w:cs="Mendl Sans Dusk Medium"/>
          <w:b/>
          <w:color w:val="1E392C"/>
          <w:sz w:val="23"/>
        </w:rPr>
        <w:t>Section 5.2: Trade Partner Onboarding Requirements</w:t>
      </w:r>
    </w:p>
    <w:p>
      <w:pPr>
        <w:widowControl/>
      </w:pPr>
      <w:r>
        <w:rPr>
          <w:rFonts w:ascii="Mendl Sans Dusk Regular" w:hAnsi="Mendl Sans Dusk Regular" w:eastAsia="Mendl Sans Dusk Regular" w:cs="Mendl Sans Dusk Regular"/>
          <w:b w:val="0"/>
          <w:color w:val="202723"/>
          <w:sz w:val="21"/>
        </w:rPr>
        <w:t>Before a Trade Partner may begin work on any MH Construction project, the following must be on file:</w:t>
      </w:r>
    </w:p>
    <w:tbl>
      <w:tblPr>
        <w:tblStyle w:val="TableGrid"/>
        <w:tblW w:type="auto" w:w="0"/>
        <w:jc w:val="left"/>
        <w:tblLayout w:type="fixed"/>
        <w:tblLook w:firstColumn="1" w:firstRow="1" w:lastColumn="0" w:lastRow="0" w:noHBand="0" w:noVBand="1" w:val="04A0"/>
      </w:tblPr>
      <w:tblGrid>
        <w:gridCol w:w="3293"/>
        <w:gridCol w:w="3293"/>
        <w:gridCol w:w="3293"/>
      </w:tblGrid>
      <w:tr>
        <w:tc>
          <w:tcPr>
            <w:tcW w:type="dxa" w:w="4070"/>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Requirement</w:t>
            </w:r>
          </w:p>
        </w:tc>
        <w:tc>
          <w:tcPr>
            <w:tcW w:type="dxa" w:w="3581"/>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Verification Method</w:t>
            </w:r>
          </w:p>
        </w:tc>
        <w:tc>
          <w:tcPr>
            <w:tcW w:type="dxa" w:w="1709"/>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Owner</w:t>
            </w:r>
          </w:p>
        </w:tc>
      </w:tr>
      <w:tr>
        <w:tc>
          <w:tcPr>
            <w:tcW w:type="dxa" w:w="4070"/>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Current Certificate of Insurance (GL, WC, Auto)</w:t>
            </w:r>
          </w:p>
        </w:tc>
        <w:tc>
          <w:tcPr>
            <w:tcW w:type="dxa" w:w="3581"/>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COI on file, MH listed as additional insured</w:t>
            </w:r>
          </w:p>
        </w:tc>
        <w:tc>
          <w:tcPr>
            <w:tcW w:type="dxa" w:w="1709"/>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CHNAV / PM</w:t>
            </w:r>
          </w:p>
        </w:tc>
      </w:tr>
      <w:tr>
        <w:tc>
          <w:tcPr>
            <w:tcW w:type="dxa" w:w="4070"/>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State contractor license (applicable jurisdiction)</w:t>
            </w:r>
          </w:p>
        </w:tc>
        <w:tc>
          <w:tcPr>
            <w:tcW w:type="dxa" w:w="3581"/>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License number verified on state database</w:t>
            </w:r>
          </w:p>
        </w:tc>
        <w:tc>
          <w:tcPr>
            <w:tcW w:type="dxa" w:w="1709"/>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CHNAV</w:t>
            </w:r>
          </w:p>
        </w:tc>
      </w:tr>
      <w:tr>
        <w:tc>
          <w:tcPr>
            <w:tcW w:type="dxa" w:w="4070"/>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Signed MH Construction Trade Partner Agreement</w:t>
            </w:r>
          </w:p>
        </w:tc>
        <w:tc>
          <w:tcPr>
            <w:tcW w:type="dxa" w:w="3581"/>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Executed contract on file in Procore</w:t>
            </w:r>
          </w:p>
        </w:tc>
        <w:tc>
          <w:tcPr>
            <w:tcW w:type="dxa" w:w="1709"/>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CHNAV / PM</w:t>
            </w:r>
          </w:p>
        </w:tc>
      </w:tr>
      <w:tr>
        <w:tc>
          <w:tcPr>
            <w:tcW w:type="dxa" w:w="4070"/>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MISH safety orientation acknowledgment</w:t>
            </w:r>
          </w:p>
        </w:tc>
        <w:tc>
          <w:tcPr>
            <w:tcW w:type="dxa" w:w="3581"/>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Signed form on file in Procore</w:t>
            </w:r>
          </w:p>
        </w:tc>
        <w:tc>
          <w:tcPr>
            <w:tcW w:type="dxa" w:w="1709"/>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Site Safety Commander</w:t>
            </w:r>
          </w:p>
        </w:tc>
      </w:tr>
      <w:tr>
        <w:tc>
          <w:tcPr>
            <w:tcW w:type="dxa" w:w="4070"/>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W-9 on file</w:t>
            </w:r>
          </w:p>
        </w:tc>
        <w:tc>
          <w:tcPr>
            <w:tcW w:type="dxa" w:w="3581"/>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Sage 100 vendor record</w:t>
            </w:r>
          </w:p>
        </w:tc>
        <w:tc>
          <w:tcPr>
            <w:tcW w:type="dxa" w:w="1709"/>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Accounting</w:t>
            </w:r>
          </w:p>
        </w:tc>
      </w:tr>
    </w:tbl>
    <w:p>
      <w:pPr>
        <w:widowControl/>
        <w:spacing w:after="20"/>
      </w:pPr>
    </w:p>
    <w:p>
      <w:pPr>
        <w:pStyle w:val="Heading2"/>
        <w:widowControl/>
      </w:pPr>
      <w:r>
        <w:rPr>
          <w:rFonts w:ascii="Mendl Sans Dusk Medium" w:hAnsi="Mendl Sans Dusk Medium" w:eastAsia="Mendl Sans Dusk Medium" w:cs="Mendl Sans Dusk Medium"/>
          <w:b/>
          <w:color w:val="628F79"/>
          <w:sz w:val="26"/>
        </w:rPr>
        <w:t>SE-06.0 | Proposal and Follow-Up Workflow</w:t>
      </w:r>
    </w:p>
    <w:p>
      <w:pPr>
        <w:widowControl/>
      </w:pPr>
      <w:r>
        <w:rPr>
          <w:rFonts w:ascii="Mendl Sans Dusk Regular" w:hAnsi="Mendl Sans Dusk Regular" w:eastAsia="Mendl Sans Dusk Regular" w:cs="Mendl Sans Dusk Regular"/>
          <w:b w:val="0"/>
          <w:color w:val="202723"/>
          <w:sz w:val="21"/>
        </w:rPr>
        <w:t>A proposal should not only be turned in on time. It should leave a clean record of what was offered, why it was priced that way, and how the relationship should continue after submission.</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Confirm the due date, submission format, review path, and owner responsibilities.</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Gather the latest documents, addenda, stakeholder notes, and open questions.</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Align the estimator lead, leadership review, and specialty inputs before finalization.</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Deliver the proposal on time and with clear clarifications.</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Record the outcome in BidPilot and Procore. Capture lessons using the Lost-Bid Debrief format (below) for all no-award outcomes.</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If follow-up language, recap assets, or owner-approved updates may be repurposed externally, align them with the shared parameters baselines before release.</w:t>
      </w:r>
    </w:p>
    <w:p>
      <w:pPr>
        <w:pStyle w:val="Heading3"/>
        <w:widowControl/>
      </w:pPr>
      <w:r>
        <w:rPr>
          <w:rFonts w:ascii="Mendl Sans Dusk Medium" w:hAnsi="Mendl Sans Dusk Medium" w:eastAsia="Mendl Sans Dusk Medium" w:cs="Mendl Sans Dusk Medium"/>
          <w:b/>
          <w:color w:val="1E392C"/>
          <w:sz w:val="23"/>
        </w:rPr>
        <w:t>Section 6.1: Lost-Bid Debrief Format</w:t>
      </w:r>
    </w:p>
    <w:p>
      <w:pPr>
        <w:widowControl/>
      </w:pPr>
      <w:r>
        <w:rPr>
          <w:rFonts w:ascii="Mendl Sans Dusk Regular" w:hAnsi="Mendl Sans Dusk Regular" w:eastAsia="Mendl Sans Dusk Regular" w:cs="Mendl Sans Dusk Regular"/>
          <w:b w:val="0"/>
          <w:color w:val="202723"/>
          <w:sz w:val="21"/>
        </w:rPr>
        <w:t>For every pursuit that does not result in an award, the CHNAV completes a brief debrief record in BidPilot within 10 business days of the no-award notification. The debrief captures:</w:t>
      </w:r>
    </w:p>
    <w:p>
      <w:pPr>
        <w:widowControl/>
      </w:pPr>
      <w:r>
        <w:rPr>
          <w:rFonts w:ascii="Mendl Sans Dusk Regular" w:hAnsi="Mendl Sans Dusk Regular" w:eastAsia="Mendl Sans Dusk Regular" w:cs="Mendl Sans Dusk Regular"/>
          <w:b w:val="0"/>
          <w:color w:val="202723"/>
          <w:sz w:val="21"/>
        </w:rPr>
        <w:t>Project name, value, and client type.</w:t>
      </w:r>
    </w:p>
    <w:p>
      <w:pPr>
        <w:widowControl/>
      </w:pPr>
      <w:r>
        <w:rPr>
          <w:rFonts w:ascii="Mendl Sans Dusk Regular" w:hAnsi="Mendl Sans Dusk Regular" w:eastAsia="Mendl Sans Dusk Regular" w:cs="Mendl Sans Dusk Regular"/>
          <w:b w:val="0"/>
          <w:color w:val="202723"/>
          <w:sz w:val="21"/>
        </w:rPr>
        <w:t>Bid/no-bid score at time of qualification (from SE 07).</w:t>
      </w:r>
    </w:p>
    <w:p>
      <w:pPr>
        <w:widowControl/>
      </w:pPr>
      <w:r>
        <w:rPr>
          <w:rFonts w:ascii="Mendl Sans Dusk Regular" w:hAnsi="Mendl Sans Dusk Regular" w:eastAsia="Mendl Sans Dusk Regular" w:cs="Mendl Sans Dusk Regular"/>
          <w:b w:val="0"/>
          <w:color w:val="202723"/>
          <w:sz w:val="21"/>
        </w:rPr>
        <w:t>Estimated vs. awarded value (if known).</w:t>
      </w:r>
    </w:p>
    <w:p>
      <w:pPr>
        <w:widowControl/>
      </w:pPr>
      <w:r>
        <w:rPr>
          <w:rFonts w:ascii="Mendl Sans Dusk Regular" w:hAnsi="Mendl Sans Dusk Regular" w:eastAsia="Mendl Sans Dusk Regular" w:cs="Mendl Sans Dusk Regular"/>
          <w:b w:val="0"/>
          <w:color w:val="202723"/>
          <w:sz w:val="21"/>
        </w:rPr>
        <w:t>Primary reason for loss (price, relationship, scope gap, timing, other).</w:t>
      </w:r>
    </w:p>
    <w:p>
      <w:pPr>
        <w:widowControl/>
      </w:pPr>
      <w:r>
        <w:rPr>
          <w:rFonts w:ascii="Mendl Sans Dusk Regular" w:hAnsi="Mendl Sans Dusk Regular" w:eastAsia="Mendl Sans Dusk Regular" w:cs="Mendl Sans Dusk Regular"/>
          <w:b w:val="0"/>
          <w:color w:val="202723"/>
          <w:sz w:val="21"/>
        </w:rPr>
        <w:t>Lessons learned and recommended adjustments for future similar pursuits.</w:t>
      </w:r>
    </w:p>
    <w:p>
      <w:pPr>
        <w:widowControl/>
      </w:pPr>
      <w:r>
        <w:rPr>
          <w:rFonts w:ascii="Mendl Sans Dusk Regular" w:hAnsi="Mendl Sans Dusk Regular" w:eastAsia="Mendl Sans Dusk Regular" w:cs="Mendl Sans Dusk Regular"/>
          <w:b w:val="0"/>
          <w:color w:val="202723"/>
          <w:sz w:val="21"/>
        </w:rPr>
        <w:t>Debrief data is reviewed quarterly by the CEO and CHNAV to refine the qualification criteria and estimating standards.</w:t>
      </w:r>
    </w:p>
    <w:p>
      <w:pPr>
        <w:pStyle w:val="Heading2"/>
        <w:widowControl/>
      </w:pPr>
      <w:r>
        <w:rPr>
          <w:rFonts w:ascii="Mendl Sans Dusk Medium" w:hAnsi="Mendl Sans Dusk Medium" w:eastAsia="Mendl Sans Dusk Medium" w:cs="Mendl Sans Dusk Medium"/>
          <w:b/>
          <w:color w:val="628F79"/>
          <w:sz w:val="26"/>
        </w:rPr>
        <w:t>SE-07.0 | Bid / No-Bid Decision Framework</w:t>
      </w:r>
    </w:p>
    <w:p>
      <w:pPr>
        <w:widowControl/>
      </w:pPr>
      <w:r>
        <w:rPr>
          <w:rFonts w:ascii="Mendl Sans Dusk Regular" w:hAnsi="Mendl Sans Dusk Regular" w:eastAsia="Mendl Sans Dusk Regular" w:cs="Mendl Sans Dusk Regular"/>
          <w:b w:val="0"/>
          <w:color w:val="202723"/>
          <w:sz w:val="21"/>
        </w:rPr>
        <w:t>Before committing estimating resources to any pursuit, the CHNAV completes a Bid/No-Bid score. A score below 60 requires COO review before proceeding. A score below 40 is a no-bid unless the CEO overrides.</w:t>
      </w:r>
    </w:p>
    <w:tbl>
      <w:tblPr>
        <w:tblStyle w:val="TableGrid"/>
        <w:tblW w:type="auto" w:w="0"/>
        <w:jc w:val="left"/>
        <w:tblLayout w:type="fixed"/>
        <w:tblLook w:firstColumn="1" w:firstRow="1" w:lastColumn="0" w:lastRow="0" w:noHBand="0" w:noVBand="1" w:val="04A0"/>
      </w:tblPr>
      <w:tblGrid>
        <w:gridCol w:w="2469"/>
        <w:gridCol w:w="2469"/>
        <w:gridCol w:w="2469"/>
        <w:gridCol w:w="2469"/>
      </w:tblGrid>
      <w:tr>
        <w:tc>
          <w:tcPr>
            <w:tcW w:type="dxa" w:w="2663"/>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Criterion</w:t>
            </w:r>
          </w:p>
        </w:tc>
        <w:tc>
          <w:tcPr>
            <w:tcW w:type="dxa" w:w="533"/>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Weight</w:t>
            </w:r>
          </w:p>
        </w:tc>
        <w:tc>
          <w:tcPr>
            <w:tcW w:type="dxa" w:w="1979"/>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Score 1-5 (5 = Strong Fit)</w:t>
            </w:r>
          </w:p>
        </w:tc>
        <w:tc>
          <w:tcPr>
            <w:tcW w:type="dxa" w:w="4185"/>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Notes</w:t>
            </w:r>
          </w:p>
        </w:tc>
      </w:tr>
      <w:tr>
        <w:tc>
          <w:tcPr>
            <w:tcW w:type="dxa" w:w="266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Client Partner relationship quality</w:t>
            </w:r>
          </w:p>
        </w:tc>
        <w:tc>
          <w:tcPr>
            <w:tcW w:type="dxa" w:w="53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20%</w:t>
            </w:r>
          </w:p>
        </w:tc>
        <w:tc>
          <w:tcPr>
            <w:tcW w:type="dxa" w:w="1979"/>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Enter 1-5</w:t>
            </w:r>
          </w:p>
        </w:tc>
        <w:tc>
          <w:tcPr>
            <w:tcW w:type="dxa" w:w="4185"/>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Known client, referral, or new cold contact</w:t>
            </w:r>
          </w:p>
        </w:tc>
      </w:tr>
      <w:tr>
        <w:tc>
          <w:tcPr>
            <w:tcW w:type="dxa" w:w="266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Project type / service mix fit</w:t>
            </w:r>
          </w:p>
        </w:tc>
        <w:tc>
          <w:tcPr>
            <w:tcW w:type="dxa" w:w="53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15%</w:t>
            </w:r>
          </w:p>
        </w:tc>
        <w:tc>
          <w:tcPr>
            <w:tcW w:type="dxa" w:w="1979"/>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Enter 1-5</w:t>
            </w:r>
          </w:p>
        </w:tc>
        <w:tc>
          <w:tcPr>
            <w:tcW w:type="dxa" w:w="4185"/>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Within MH core services or adjacent</w:t>
            </w:r>
          </w:p>
        </w:tc>
      </w:tr>
      <w:tr>
        <w:tc>
          <w:tcPr>
            <w:tcW w:type="dxa" w:w="266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Geography and logistics</w:t>
            </w:r>
          </w:p>
        </w:tc>
        <w:tc>
          <w:tcPr>
            <w:tcW w:type="dxa" w:w="53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10%</w:t>
            </w:r>
          </w:p>
        </w:tc>
        <w:tc>
          <w:tcPr>
            <w:tcW w:type="dxa" w:w="1979"/>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Enter 1-5</w:t>
            </w:r>
          </w:p>
        </w:tc>
        <w:tc>
          <w:tcPr>
            <w:tcW w:type="dxa" w:w="4185"/>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WA/OR/ID coverage; travel and mobilization cost</w:t>
            </w:r>
          </w:p>
        </w:tc>
      </w:tr>
      <w:tr>
        <w:tc>
          <w:tcPr>
            <w:tcW w:type="dxa" w:w="266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Schedule fit with current backlog</w:t>
            </w:r>
          </w:p>
        </w:tc>
        <w:tc>
          <w:tcPr>
            <w:tcW w:type="dxa" w:w="53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15%</w:t>
            </w:r>
          </w:p>
        </w:tc>
        <w:tc>
          <w:tcPr>
            <w:tcW w:type="dxa" w:w="1979"/>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Enter 1-5</w:t>
            </w:r>
          </w:p>
        </w:tc>
        <w:tc>
          <w:tcPr>
            <w:tcW w:type="dxa" w:w="4185"/>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Can MH staff and execute without overcommitting</w:t>
            </w:r>
          </w:p>
        </w:tc>
      </w:tr>
      <w:tr>
        <w:tc>
          <w:tcPr>
            <w:tcW w:type="dxa" w:w="266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Margin potential</w:t>
            </w:r>
          </w:p>
        </w:tc>
        <w:tc>
          <w:tcPr>
            <w:tcW w:type="dxa" w:w="53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20%</w:t>
            </w:r>
          </w:p>
        </w:tc>
        <w:tc>
          <w:tcPr>
            <w:tcW w:type="dxa" w:w="1979"/>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Enter 1-5</w:t>
            </w:r>
          </w:p>
        </w:tc>
        <w:tc>
          <w:tcPr>
            <w:tcW w:type="dxa" w:w="4185"/>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Estimated GP% vs. MH target margin</w:t>
            </w:r>
          </w:p>
        </w:tc>
      </w:tr>
      <w:tr>
        <w:tc>
          <w:tcPr>
            <w:tcW w:type="dxa" w:w="266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Risk profile</w:t>
            </w:r>
          </w:p>
        </w:tc>
        <w:tc>
          <w:tcPr>
            <w:tcW w:type="dxa" w:w="53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10%</w:t>
            </w:r>
          </w:p>
        </w:tc>
        <w:tc>
          <w:tcPr>
            <w:tcW w:type="dxa" w:w="1979"/>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Enter 1-5</w:t>
            </w:r>
          </w:p>
        </w:tc>
        <w:tc>
          <w:tcPr>
            <w:tcW w:type="dxa" w:w="4185"/>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Site conditions, design completeness, owner track record</w:t>
            </w:r>
          </w:p>
        </w:tc>
      </w:tr>
      <w:tr>
        <w:tc>
          <w:tcPr>
            <w:tcW w:type="dxa" w:w="266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Strategic value</w:t>
            </w:r>
          </w:p>
        </w:tc>
        <w:tc>
          <w:tcPr>
            <w:tcW w:type="dxa" w:w="53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10%</w:t>
            </w:r>
          </w:p>
        </w:tc>
        <w:tc>
          <w:tcPr>
            <w:tcW w:type="dxa" w:w="1979"/>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Enter 1-5</w:t>
            </w:r>
          </w:p>
        </w:tc>
        <w:tc>
          <w:tcPr>
            <w:tcW w:type="dxa" w:w="4185"/>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Reference project, new market, repeat client potential</w:t>
            </w:r>
          </w:p>
        </w:tc>
      </w:tr>
    </w:tbl>
    <w:p>
      <w:pPr>
        <w:widowControl/>
        <w:spacing w:after="20"/>
      </w:pPr>
    </w:p>
    <w:p>
      <w:pPr>
        <w:widowControl/>
      </w:pPr>
      <w:r>
        <w:rPr>
          <w:rFonts w:ascii="Mendl Sans Dusk Regular" w:hAnsi="Mendl Sans Dusk Regular" w:eastAsia="Mendl Sans Dusk Regular" w:cs="Mendl Sans Dusk Regular"/>
          <w:b w:val="0"/>
          <w:color w:val="202723"/>
          <w:sz w:val="21"/>
        </w:rPr>
        <w:t>Weighted score = sum of (score x weight). Maximum score = 5.0. Threshold: 3.0+ = proceed; 2.0-2.9 = COO review; below 2.0 = no-bid unless CEO overrides.</w:t>
      </w:r>
    </w:p>
    <w:p>
      <w:pPr>
        <w:pStyle w:val="Heading2"/>
        <w:widowControl/>
      </w:pPr>
      <w:r>
        <w:rPr>
          <w:rFonts w:ascii="Mendl Sans Dusk Medium" w:hAnsi="Mendl Sans Dusk Medium" w:eastAsia="Mendl Sans Dusk Medium" w:cs="Mendl Sans Dusk Medium"/>
          <w:b/>
          <w:color w:val="628F79"/>
          <w:sz w:val="26"/>
        </w:rPr>
        <w:t>SE-08.0 | Bonding, Licensing, and Multi-State Controls</w:t>
      </w:r>
    </w:p>
    <w:p>
      <w:pPr>
        <w:widowControl/>
      </w:pPr>
      <w:r>
        <w:rPr>
          <w:rFonts w:ascii="Mendl Sans Dusk Regular" w:hAnsi="Mendl Sans Dusk Regular" w:eastAsia="Mendl Sans Dusk Regular" w:cs="Mendl Sans Dusk Regular"/>
          <w:b w:val="0"/>
          <w:color w:val="202723"/>
          <w:sz w:val="21"/>
        </w:rPr>
        <w:t>Public and institutional projects frequently require performance and payment bonds. The CHNAV is responsible for confirming bonding capacity before submitting a proposal on any public project or any project where bonding is specified.</w:t>
      </w:r>
    </w:p>
    <w:p>
      <w:pPr>
        <w:pStyle w:val="Heading3"/>
        <w:widowControl/>
      </w:pPr>
      <w:r>
        <w:rPr>
          <w:rFonts w:ascii="Mendl Sans Dusk Medium" w:hAnsi="Mendl Sans Dusk Medium" w:eastAsia="Mendl Sans Dusk Medium" w:cs="Mendl Sans Dusk Medium"/>
          <w:b/>
          <w:color w:val="1E392C"/>
          <w:sz w:val="23"/>
        </w:rPr>
        <w:t>Section 8.1: Bonding</w:t>
      </w:r>
    </w:p>
    <w:p>
      <w:pPr>
        <w:widowControl/>
      </w:pPr>
      <w:r>
        <w:rPr>
          <w:rFonts w:ascii="Mendl Sans Dusk Regular" w:hAnsi="Mendl Sans Dusk Regular" w:eastAsia="Mendl Sans Dusk Regular" w:cs="Mendl Sans Dusk Regular"/>
          <w:b w:val="0"/>
          <w:color w:val="202723"/>
          <w:sz w:val="21"/>
        </w:rPr>
        <w:t>Confirm current bonding capacity with the surety agent before pursuing any bonded project.</w:t>
      </w:r>
    </w:p>
    <w:p>
      <w:pPr>
        <w:widowControl/>
      </w:pPr>
      <w:r>
        <w:rPr>
          <w:rFonts w:ascii="Mendl Sans Dusk Regular" w:hAnsi="Mendl Sans Dusk Regular" w:eastAsia="Mendl Sans Dusk Regular" w:cs="Mendl Sans Dusk Regular"/>
          <w:b w:val="0"/>
          <w:color w:val="202723"/>
          <w:sz w:val="21"/>
        </w:rPr>
        <w:t>Include bonding cost in the estimate as a direct cost line item.</w:t>
      </w:r>
    </w:p>
    <w:p>
      <w:pPr>
        <w:widowControl/>
      </w:pPr>
      <w:r>
        <w:rPr>
          <w:rFonts w:ascii="Mendl Sans Dusk Regular" w:hAnsi="Mendl Sans Dusk Regular" w:eastAsia="Mendl Sans Dusk Regular" w:cs="Mendl Sans Dusk Regular"/>
          <w:b w:val="0"/>
          <w:color w:val="202723"/>
          <w:sz w:val="21"/>
        </w:rPr>
        <w:t>Do not submit a bonded proposal without CEO confirmation that capacity is available.</w:t>
      </w:r>
    </w:p>
    <w:p>
      <w:pPr>
        <w:widowControl/>
      </w:pPr>
      <w:r>
        <w:rPr>
          <w:rFonts w:ascii="Mendl Sans Dusk Regular" w:hAnsi="Mendl Sans Dusk Regular" w:eastAsia="Mendl Sans Dusk Regular" w:cs="Mendl Sans Dusk Regular"/>
          <w:b w:val="0"/>
          <w:color w:val="202723"/>
          <w:sz w:val="21"/>
        </w:rPr>
        <w:t>Maintain current financial statements and work-in-progress schedules as required by the surety.</w:t>
      </w:r>
    </w:p>
    <w:p>
      <w:pPr>
        <w:pStyle w:val="Heading3"/>
        <w:widowControl/>
      </w:pPr>
      <w:r>
        <w:rPr>
          <w:rFonts w:ascii="Mendl Sans Dusk Medium" w:hAnsi="Mendl Sans Dusk Medium" w:eastAsia="Mendl Sans Dusk Medium" w:cs="Mendl Sans Dusk Medium"/>
          <w:b/>
          <w:color w:val="1E392C"/>
          <w:sz w:val="23"/>
        </w:rPr>
        <w:t>Section 8.2: Licensing</w:t>
      </w:r>
    </w:p>
    <w:p>
      <w:pPr>
        <w:widowControl/>
      </w:pPr>
      <w:r>
        <w:rPr>
          <w:rFonts w:ascii="Mendl Sans Dusk Regular" w:hAnsi="Mendl Sans Dusk Regular" w:eastAsia="Mendl Sans Dusk Regular" w:cs="Mendl Sans Dusk Regular"/>
          <w:b w:val="0"/>
          <w:color w:val="202723"/>
          <w:sz w:val="21"/>
        </w:rPr>
        <w:t>MH Construction holds active licenses in Washington (MHCONCI907R7), Oregon (194331), and Idaho (RCE-49250). All proposals must include the applicable license number for the project jurisdiction. Proposals for projects in jurisdictions where MH does not hold a license require CEO approval and a licensing plan before submission.</w:t>
      </w:r>
    </w:p>
    <w:p>
      <w:pPr>
        <w:pStyle w:val="Heading3"/>
        <w:widowControl/>
      </w:pPr>
      <w:r>
        <w:rPr>
          <w:rFonts w:ascii="Mendl Sans Dusk Medium" w:hAnsi="Mendl Sans Dusk Medium" w:eastAsia="Mendl Sans Dusk Medium" w:cs="Mendl Sans Dusk Medium"/>
          <w:b/>
          <w:color w:val="1E392C"/>
          <w:sz w:val="23"/>
        </w:rPr>
        <w:t>Section 8.3: Multi-State Proposal Differences</w:t>
      </w:r>
    </w:p>
    <w:p>
      <w:pPr>
        <w:widowControl/>
      </w:pPr>
      <w:r>
        <w:rPr>
          <w:rFonts w:ascii="Mendl Sans Dusk Regular" w:hAnsi="Mendl Sans Dusk Regular" w:eastAsia="Mendl Sans Dusk Regular" w:cs="Mendl Sans Dusk Regular"/>
          <w:b w:val="0"/>
          <w:color w:val="202723"/>
          <w:sz w:val="21"/>
        </w:rPr>
        <w:t>Oregon and Idaho have different prevailing wage, lien, and contractor registration requirements from Washington. The CHNAV confirms state-specific requirements before finalizing any out-of-state proposal. Scope exclusion language and payment terms may need to be adjusted for Oregon and Idaho projects.</w:t>
      </w:r>
    </w:p>
    <w:p>
      <w:pPr>
        <w:pStyle w:val="Heading2"/>
        <w:widowControl/>
      </w:pPr>
      <w:r>
        <w:rPr>
          <w:rFonts w:ascii="Mendl Sans Dusk Medium" w:hAnsi="Mendl Sans Dusk Medium" w:eastAsia="Mendl Sans Dusk Medium" w:cs="Mendl Sans Dusk Medium"/>
          <w:b/>
          <w:color w:val="628F79"/>
          <w:sz w:val="26"/>
        </w:rPr>
        <w:t>SE-09.0 | Guardrails</w:t>
      </w:r>
    </w:p>
    <w:p>
      <w:pPr>
        <w:widowControl/>
      </w:pPr>
      <w:r>
        <w:rPr>
          <w:rFonts w:ascii="Mendl Sans Dusk Regular" w:hAnsi="Mendl Sans Dusk Regular" w:eastAsia="Mendl Sans Dusk Regular" w:cs="Mendl Sans Dusk Regular"/>
          <w:b w:val="0"/>
          <w:color w:val="202723"/>
          <w:sz w:val="21"/>
        </w:rPr>
        <w:t>Do not blur marketing promises into estimating commitments.</w:t>
      </w:r>
    </w:p>
    <w:p>
      <w:pPr>
        <w:widowControl/>
      </w:pPr>
      <w:r>
        <w:rPr>
          <w:rFonts w:ascii="Mendl Sans Dusk Regular" w:hAnsi="Mendl Sans Dusk Regular" w:eastAsia="Mendl Sans Dusk Regular" w:cs="Mendl Sans Dusk Regular"/>
          <w:b w:val="0"/>
          <w:color w:val="202723"/>
          <w:sz w:val="21"/>
        </w:rPr>
        <w:t>Do not provide a number without enough project definition to support it.</w:t>
      </w:r>
    </w:p>
    <w:p>
      <w:pPr>
        <w:widowControl/>
      </w:pPr>
      <w:r>
        <w:rPr>
          <w:rFonts w:ascii="Mendl Sans Dusk Regular" w:hAnsi="Mendl Sans Dusk Regular" w:eastAsia="Mendl Sans Dusk Regular" w:cs="Mendl Sans Dusk Regular"/>
          <w:b w:val="0"/>
          <w:color w:val="202723"/>
          <w:sz w:val="21"/>
        </w:rPr>
        <w:t>Do not misrepresent capability, availability, or scope coverage.</w:t>
      </w:r>
    </w:p>
    <w:p>
      <w:pPr>
        <w:widowControl/>
      </w:pPr>
      <w:r>
        <w:rPr>
          <w:rFonts w:ascii="Mendl Sans Dusk Regular" w:hAnsi="Mendl Sans Dusk Regular" w:eastAsia="Mendl Sans Dusk Regular" w:cs="Mendl Sans Dusk Regular"/>
          <w:b w:val="0"/>
          <w:color w:val="202723"/>
          <w:sz w:val="21"/>
        </w:rPr>
        <w:t>Keep private pricing conversations and public messaging separated.</w:t>
      </w:r>
    </w:p>
    <w:p>
      <w:pPr>
        <w:widowControl/>
      </w:pPr>
      <w:r>
        <w:rPr>
          <w:rFonts w:ascii="Mendl Sans Dusk Regular" w:hAnsi="Mendl Sans Dusk Regular" w:eastAsia="Mendl Sans Dusk Regular" w:cs="Mendl Sans Dusk Regular"/>
          <w:b w:val="0"/>
          <w:color w:val="202723"/>
          <w:sz w:val="21"/>
        </w:rPr>
        <w:t>Preserve MH naming, trust references, and veteran-owned factual framing.</w:t>
      </w:r>
    </w:p>
    <w:p>
      <w:pPr>
        <w:widowControl/>
      </w:pPr>
      <w:r>
        <w:rPr>
          <w:rFonts w:ascii="Mendl Sans Dusk Regular" w:hAnsi="Mendl Sans Dusk Regular" w:eastAsia="Mendl Sans Dusk Regular" w:cs="Mendl Sans Dusk Regular"/>
          <w:b w:val="0"/>
          <w:color w:val="202723"/>
          <w:sz w:val="21"/>
        </w:rPr>
        <w:t>Avoid internal jargon, inflated certainty, and pursuit language that hides real scope risk from the owner.</w:t>
      </w:r>
    </w:p>
    <w:p>
      <w:pPr>
        <w:widowControl/>
      </w:pPr>
      <w:r>
        <w:rPr>
          <w:rFonts w:ascii="Mendl Sans Dusk Regular" w:hAnsi="Mendl Sans Dusk Regular" w:eastAsia="Mendl Sans Dusk Regular" w:cs="Mendl Sans Dusk Regular"/>
          <w:b w:val="0"/>
          <w:color w:val="202723"/>
          <w:sz w:val="21"/>
        </w:rPr>
        <w:t>When sales content is likely to be reused by marketing, verify it still meets the shared parameters baselines for proof, tone, lifecycle terminology, and release readiness.</w:t>
      </w:r>
    </w:p>
    <w:p>
      <w:pPr>
        <w:widowControl/>
      </w:pPr>
      <w:r>
        <w:rPr>
          <w:rFonts w:ascii="Mendl Sans Dusk Regular" w:hAnsi="Mendl Sans Dusk Regular" w:eastAsia="Mendl Sans Dusk Regular" w:cs="Mendl Sans Dusk Regular"/>
          <w:b w:val="0"/>
          <w:color w:val="202723"/>
          <w:sz w:val="21"/>
        </w:rPr>
        <w:t>Do not submit a proposal without completing the Bid/No-Bid score (SE 07).</w:t>
      </w:r>
    </w:p>
    <w:p>
      <w:pPr>
        <w:widowControl/>
      </w:pPr>
      <w:r>
        <w:rPr>
          <w:rFonts w:ascii="Mendl Sans Dusk Regular" w:hAnsi="Mendl Sans Dusk Regular" w:eastAsia="Mendl Sans Dusk Regular" w:cs="Mendl Sans Dusk Regular"/>
          <w:b w:val="0"/>
          <w:color w:val="202723"/>
          <w:sz w:val="21"/>
        </w:rPr>
        <w:t>Do not execute a change order without Client Partner written acceptance on file.</w:t>
      </w:r>
    </w:p>
    <w:p>
      <w:pPr>
        <w:pStyle w:val="Heading2"/>
        <w:widowControl/>
      </w:pPr>
      <w:r>
        <w:rPr>
          <w:rFonts w:ascii="Mendl Sans Dusk Medium" w:hAnsi="Mendl Sans Dusk Medium" w:eastAsia="Mendl Sans Dusk Medium" w:cs="Mendl Sans Dusk Medium"/>
          <w:b/>
          <w:color w:val="628F79"/>
          <w:sz w:val="26"/>
        </w:rPr>
        <w:t>SE-10.0 | Success Measures and Pipeline Reporting</w:t>
      </w:r>
    </w:p>
    <w:p>
      <w:pPr>
        <w:widowControl/>
      </w:pPr>
      <w:r>
        <w:rPr>
          <w:rFonts w:ascii="Mendl Sans Dusk Regular" w:hAnsi="Mendl Sans Dusk Regular" w:eastAsia="Mendl Sans Dusk Regular" w:cs="Mendl Sans Dusk Regular"/>
          <w:b w:val="0"/>
          <w:color w:val="202723"/>
          <w:sz w:val="21"/>
        </w:rPr>
        <w:t>Track the strategy at four levels so performance is measured on fit, estimate discipline, stakeholder confidence, and handoff quality. The CHNAV reports pipeline metrics to the CEO monthly.</w:t>
      </w:r>
    </w:p>
    <w:tbl>
      <w:tblPr>
        <w:tblStyle w:val="TableGrid"/>
        <w:tblW w:type="auto" w:w="0"/>
        <w:jc w:val="left"/>
        <w:tblLayout w:type="fixed"/>
        <w:tblLook w:firstColumn="1" w:firstRow="1" w:lastColumn="0" w:lastRow="0" w:noHBand="0" w:noVBand="1" w:val="04A0"/>
      </w:tblPr>
      <w:tblGrid>
        <w:gridCol w:w="2469"/>
        <w:gridCol w:w="2469"/>
        <w:gridCol w:w="2469"/>
        <w:gridCol w:w="2469"/>
      </w:tblGrid>
      <w:tr>
        <w:tc>
          <w:tcPr>
            <w:tcW w:type="dxa" w:w="1560"/>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Measure</w:t>
            </w:r>
          </w:p>
        </w:tc>
        <w:tc>
          <w:tcPr>
            <w:tcW w:type="dxa" w:w="4516"/>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What Good Looks Like</w:t>
            </w:r>
          </w:p>
        </w:tc>
        <w:tc>
          <w:tcPr>
            <w:tcW w:type="dxa" w:w="2381"/>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Reporting Cadence</w:t>
            </w:r>
          </w:p>
        </w:tc>
        <w:tc>
          <w:tcPr>
            <w:tcW w:type="dxa" w:w="903"/>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Owner</w:t>
            </w:r>
          </w:p>
        </w:tc>
      </w:tr>
      <w:tr>
        <w:tc>
          <w:tcPr>
            <w:tcW w:type="dxa" w:w="1560"/>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Qualified pipeline</w:t>
            </w:r>
          </w:p>
        </w:tc>
        <w:tc>
          <w:tcPr>
            <w:tcW w:type="dxa" w:w="4516"/>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Opportunities fit MH and are worth the estimating effort</w:t>
            </w:r>
          </w:p>
        </w:tc>
        <w:tc>
          <w:tcPr>
            <w:tcW w:type="dxa" w:w="2381"/>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Weekly pipeline review</w:t>
            </w:r>
          </w:p>
        </w:tc>
        <w:tc>
          <w:tcPr>
            <w:tcW w:type="dxa" w:w="9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CHNAV</w:t>
            </w:r>
          </w:p>
        </w:tc>
      </w:tr>
      <w:tr>
        <w:tc>
          <w:tcPr>
            <w:tcW w:type="dxa" w:w="1560"/>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Estimate quality</w:t>
            </w:r>
          </w:p>
        </w:tc>
        <w:tc>
          <w:tcPr>
            <w:tcW w:type="dxa" w:w="4516"/>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Numbers are supportable, repeatable, and explained clearly</w:t>
            </w:r>
          </w:p>
        </w:tc>
        <w:tc>
          <w:tcPr>
            <w:tcW w:type="dxa" w:w="2381"/>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Per-proposal review</w:t>
            </w:r>
          </w:p>
        </w:tc>
        <w:tc>
          <w:tcPr>
            <w:tcW w:type="dxa" w:w="90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CHNAV</w:t>
            </w:r>
          </w:p>
        </w:tc>
      </w:tr>
      <w:tr>
        <w:tc>
          <w:tcPr>
            <w:tcW w:type="dxa" w:w="1560"/>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Stakeholder trust</w:t>
            </w:r>
          </w:p>
        </w:tc>
        <w:tc>
          <w:tcPr>
            <w:tcW w:type="dxa" w:w="4516"/>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Bankers, architects, city officials, and Client Partners get timely, credible responses</w:t>
            </w:r>
          </w:p>
        </w:tc>
        <w:tc>
          <w:tcPr>
            <w:tcW w:type="dxa" w:w="2381"/>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Monthly CEO report</w:t>
            </w:r>
          </w:p>
        </w:tc>
        <w:tc>
          <w:tcPr>
            <w:tcW w:type="dxa" w:w="9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CHNAV</w:t>
            </w:r>
          </w:p>
        </w:tc>
      </w:tr>
      <w:tr>
        <w:tc>
          <w:tcPr>
            <w:tcW w:type="dxa" w:w="1560"/>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Handoff quality</w:t>
            </w:r>
          </w:p>
        </w:tc>
        <w:tc>
          <w:tcPr>
            <w:tcW w:type="dxa" w:w="4516"/>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Awarded work moves to operations without scope confusion</w:t>
            </w:r>
          </w:p>
        </w:tc>
        <w:tc>
          <w:tcPr>
            <w:tcW w:type="dxa" w:w="2381"/>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Per-project post-award review</w:t>
            </w:r>
          </w:p>
        </w:tc>
        <w:tc>
          <w:tcPr>
            <w:tcW w:type="dxa" w:w="90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CHNAV / COO</w:t>
            </w:r>
          </w:p>
        </w:tc>
      </w:tr>
      <w:tr>
        <w:tc>
          <w:tcPr>
            <w:tcW w:type="dxa" w:w="1560"/>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Win rate</w:t>
            </w:r>
          </w:p>
        </w:tc>
        <w:tc>
          <w:tcPr>
            <w:tcW w:type="dxa" w:w="4516"/>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Percentage of qualified pursuits resulting in award</w:t>
            </w:r>
          </w:p>
        </w:tc>
        <w:tc>
          <w:tcPr>
            <w:tcW w:type="dxa" w:w="2381"/>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Monthly (BidPilot)</w:t>
            </w:r>
          </w:p>
        </w:tc>
        <w:tc>
          <w:tcPr>
            <w:tcW w:type="dxa" w:w="9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CHNAV</w:t>
            </w:r>
          </w:p>
        </w:tc>
      </w:tr>
      <w:tr>
        <w:tc>
          <w:tcPr>
            <w:tcW w:type="dxa" w:w="1560"/>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Bid/no-bid accuracy</w:t>
            </w:r>
          </w:p>
        </w:tc>
        <w:tc>
          <w:tcPr>
            <w:tcW w:type="dxa" w:w="4516"/>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No-bid decisions are validated by lost-bid debrief data</w:t>
            </w:r>
          </w:p>
        </w:tc>
        <w:tc>
          <w:tcPr>
            <w:tcW w:type="dxa" w:w="2381"/>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Quarterly review</w:t>
            </w:r>
          </w:p>
        </w:tc>
        <w:tc>
          <w:tcPr>
            <w:tcW w:type="dxa" w:w="90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CHNAV / CEO</w:t>
            </w:r>
          </w:p>
        </w:tc>
      </w:tr>
      <w:tr>
        <w:tc>
          <w:tcPr>
            <w:tcW w:type="dxa" w:w="1560"/>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Change order rate</w:t>
            </w:r>
          </w:p>
        </w:tc>
        <w:tc>
          <w:tcPr>
            <w:tcW w:type="dxa" w:w="4516"/>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Change orders as % of original contract value</w:t>
            </w:r>
          </w:p>
        </w:tc>
        <w:tc>
          <w:tcPr>
            <w:tcW w:type="dxa" w:w="2381"/>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Per-project closeout</w:t>
            </w:r>
          </w:p>
        </w:tc>
        <w:tc>
          <w:tcPr>
            <w:tcW w:type="dxa" w:w="9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PM / CHNAV</w:t>
            </w:r>
          </w:p>
        </w:tc>
      </w:tr>
    </w:tbl>
    <w:p>
      <w:pPr>
        <w:widowControl/>
        <w:spacing w:after="20"/>
      </w:pPr>
    </w:p>
    <w:p>
      <w:pPr>
        <w:pStyle w:val="Heading2"/>
        <w:widowControl/>
      </w:pPr>
      <w:r>
        <w:rPr>
          <w:rFonts w:ascii="Mendl Sans Dusk Medium" w:hAnsi="Mendl Sans Dusk Medium" w:eastAsia="Mendl Sans Dusk Medium" w:cs="Mendl Sans Dusk Medium"/>
          <w:b/>
          <w:color w:val="628F79"/>
          <w:sz w:val="26"/>
        </w:rPr>
        <w:t>SE-11.0 | Mobilization / Project Start and Review</w:t>
      </w:r>
    </w:p>
    <w:p>
      <w:pPr>
        <w:widowControl/>
      </w:pPr>
      <w:r>
        <w:rPr>
          <w:rFonts w:ascii="Mendl Sans Dusk Regular" w:hAnsi="Mendl Sans Dusk Regular" w:eastAsia="Mendl Sans Dusk Regular" w:cs="Mendl Sans Dusk Regular"/>
          <w:b w:val="0"/>
          <w:color w:val="202723"/>
          <w:sz w:val="21"/>
        </w:rPr>
        <w:t>Before using a new sales or estimating run, confirm the following so the pursuit stays aligned with MH brand standards and delivery reality:</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The opportunity was qualified against the current fit criteria and Bid/No-Bid score.</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The estimate reflects the latest scope and stakeholder decisions.</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The proposal language matches the approved MH brand and terminology rules.</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The follow-up plan is documented so the relationship does not stall after submission.</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Trade Partner onboarding requirements (SE 05.2) are confirmed before award.</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Bonding and licensing requirements (SE 08) are confirmed for public or out-of-state projects.</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The guide output is regenerated after material changes to the strategy or section structure.</w:t>
      </w:r>
    </w:p>
    <w:p>
      <w:pPr>
        <w:widowControl/>
      </w:pPr>
      <w:r>
        <w:rPr>
          <w:rFonts w:ascii="Mendl Sans Dusk Regular" w:hAnsi="Mendl Sans Dusk Regular" w:eastAsia="Mendl Sans Dusk Regular" w:cs="Mendl Sans Dusk Regular"/>
          <w:b w:val="0"/>
          <w:color w:val="202723"/>
          <w:sz w:val="21"/>
        </w:rPr>
        <w:t>Related Canonical Sources</w:t>
      </w:r>
    </w:p>
    <w:p>
      <w:pPr>
        <w:widowControl/>
      </w:pPr>
      <w:r>
        <w:rPr>
          <w:rFonts w:ascii="Mendl Sans Dusk Regular" w:hAnsi="Mendl Sans Dusk Regular" w:eastAsia="Mendl Sans Dusk Regular" w:cs="Mendl Sans Dusk Regular"/>
          <w:b w:val="0"/>
          <w:color w:val="202723"/>
          <w:sz w:val="21"/>
        </w:rPr>
        <w:t>Sales Documentation Index - broader sales and estimating references.</w:t>
      </w:r>
    </w:p>
    <w:p>
      <w:pPr>
        <w:widowControl/>
      </w:pPr>
      <w:r>
        <w:rPr>
          <w:rFonts w:ascii="Mendl Sans Dusk Regular" w:hAnsi="Mendl Sans Dusk Regular" w:eastAsia="Mendl Sans Dusk Regular" w:cs="Mendl Sans Dusk Regular"/>
          <w:b w:val="0"/>
          <w:color w:val="202723"/>
          <w:sz w:val="21"/>
        </w:rPr>
        <w:t>Brand Constants - canonical company facts, slogan standards, and approved trust language.</w:t>
      </w:r>
    </w:p>
    <w:p>
      <w:pPr>
        <w:widowControl/>
      </w:pPr>
      <w:r>
        <w:rPr>
          <w:rFonts w:ascii="Mendl Sans Dusk Regular" w:hAnsi="Mendl Sans Dusk Regular" w:eastAsia="Mendl Sans Dusk Regular" w:cs="Mendl Sans Dusk Regular"/>
          <w:b w:val="0"/>
          <w:color w:val="202723"/>
          <w:sz w:val="21"/>
        </w:rPr>
        <w:t>Dual Terminology Standard - stakeholder-safe naming rules for roles, labels, and enterprise terminology.</w:t>
      </w:r>
    </w:p>
    <w:p>
      <w:pPr>
        <w:widowControl/>
      </w:pPr>
      <w:r>
        <w:rPr>
          <w:rFonts w:ascii="Mendl Sans Dusk Regular" w:hAnsi="Mendl Sans Dusk Regular" w:eastAsia="Mendl Sans Dusk Regular" w:cs="Mendl Sans Dusk Regular"/>
          <w:b w:val="0"/>
          <w:color w:val="202723"/>
          <w:sz w:val="21"/>
        </w:rPr>
        <w:t>Business Services - service descriptions and Client Partner-facing capability framing.</w:t>
      </w:r>
    </w:p>
    <w:p>
      <w:pPr>
        <w:widowControl/>
      </w:pPr>
      <w:r>
        <w:rPr>
          <w:rFonts w:ascii="Mendl Sans Dusk Regular" w:hAnsi="Mendl Sans Dusk Regular" w:eastAsia="Mendl Sans Dusk Regular" w:cs="Mendl Sans Dusk Regular"/>
          <w:b w:val="0"/>
          <w:color w:val="202723"/>
          <w:sz w:val="21"/>
        </w:rPr>
        <w:t>Social Media Branding Parameters - shared campaign parameters baseline.</w:t>
      </w:r>
    </w:p>
    <w:p>
      <w:pPr>
        <w:widowControl/>
      </w:pPr>
      <w:r>
        <w:rPr>
          <w:rFonts w:ascii="Mendl Sans Dusk Regular" w:hAnsi="Mendl Sans Dusk Regular" w:eastAsia="Mendl Sans Dusk Regular" w:cs="Mendl Sans Dusk Regular"/>
          <w:b w:val="0"/>
          <w:color w:val="202723"/>
          <w:sz w:val="21"/>
        </w:rPr>
        <w:t>Lifecycle Campaign Parameters - shared phase naming, week ranges, and campaign-stage language.</w:t>
      </w:r>
    </w:p>
    <w:p>
      <w:pPr>
        <w:widowControl/>
      </w:pPr>
      <w:r>
        <w:rPr>
          <w:rFonts w:ascii="Mendl Sans Dusk Regular" w:hAnsi="Mendl Sans Dusk Regular" w:eastAsia="Mendl Sans Dusk Regular" w:cs="Mendl Sans Dusk Regular"/>
          <w:b w:val="0"/>
          <w:color w:val="202723"/>
          <w:sz w:val="21"/>
        </w:rPr>
        <w:t>Proof and Approval Parameters - shared evidence gates, approval checks, and hold conditions.</w:t>
      </w:r>
    </w:p>
    <w:p>
      <w:pPr>
        <w:widowControl/>
      </w:pPr>
      <w:r>
        <w:rPr>
          <w:rFonts w:ascii="Mendl Sans Dusk Regular" w:hAnsi="Mendl Sans Dusk Regular" w:eastAsia="Mendl Sans Dusk Regular" w:cs="Mendl Sans Dusk Regular"/>
          <w:b w:val="0"/>
          <w:color w:val="202723"/>
          <w:sz w:val="21"/>
        </w:rPr>
        <w:t>Pursuit and Handoff Parameters - shared opportunity-fit rules, approval authority, and handoff continuity baseline.</w:t>
      </w:r>
    </w:p>
    <w:p>
      <w:pPr>
        <w:widowControl/>
      </w:pPr>
      <w:r>
        <w:rPr>
          <w:rFonts w:ascii="Mendl Sans Dusk Regular" w:hAnsi="Mendl Sans Dusk Regular" w:eastAsia="Mendl Sans Dusk Regular" w:cs="Mendl Sans Dusk Regular"/>
          <w:b w:val="0"/>
          <w:color w:val="202723"/>
          <w:sz w:val="21"/>
        </w:rPr>
        <w:t>Marketing Strategy Guide - alignment point for public narrative, relationship language, and post-award communications.</w:t>
      </w:r>
    </w:p>
    <w:p>
      <w:pPr>
        <w:widowControl/>
      </w:pPr>
      <w:r>
        <w:rPr>
          <w:rFonts w:ascii="Mendl Sans Dusk Regular" w:hAnsi="Mendl Sans Dusk Regular" w:eastAsia="Mendl Sans Dusk Regular" w:cs="Mendl Sans Dusk Regular"/>
          <w:b w:val="0"/>
          <w:color w:val="202723"/>
          <w:sz w:val="21"/>
        </w:rPr>
        <w:t>Procore - project management, RFI/RFQ, and subcontract records.</w:t>
      </w:r>
    </w:p>
    <w:p>
      <w:pPr>
        <w:widowControl/>
      </w:pPr>
      <w:r>
        <w:rPr>
          <w:rFonts w:ascii="Mendl Sans Dusk Regular" w:hAnsi="Mendl Sans Dusk Regular" w:eastAsia="Mendl Sans Dusk Regular" w:cs="Mendl Sans Dusk Regular"/>
          <w:b w:val="0"/>
          <w:color w:val="202723"/>
          <w:sz w:val="21"/>
        </w:rPr>
        <w:t>Sage 100 - ERP, cost codes, and financial reporting.</w:t>
      </w:r>
    </w:p>
    <w:p>
      <w:pPr>
        <w:widowControl/>
      </w:pPr>
      <w:r>
        <w:rPr>
          <w:rFonts w:ascii="Mendl Sans Dusk Regular" w:hAnsi="Mendl Sans Dusk Regular" w:eastAsia="Mendl Sans Dusk Regular" w:cs="Mendl Sans Dusk Regular"/>
          <w:b w:val="0"/>
          <w:color w:val="202723"/>
          <w:sz w:val="21"/>
        </w:rPr>
        <w:t>BidPilot - lead pipeline, attribution, and follow-up management.</w:t>
      </w:r>
    </w:p>
    <w:p>
      <w:pPr>
        <w:pStyle w:val="Heading2"/>
        <w:widowControl/>
      </w:pPr>
      <w:r>
        <w:rPr>
          <w:rFonts w:ascii="Mendl Sans Dusk Medium" w:hAnsi="Mendl Sans Dusk Medium" w:eastAsia="Mendl Sans Dusk Medium" w:cs="Mendl Sans Dusk Medium"/>
          <w:b/>
          <w:color w:val="628F79"/>
          <w:sz w:val="26"/>
        </w:rPr>
        <w:t>SE-12.0: Client Communication &amp; Stakeholder Standards</w:t>
      </w:r>
    </w:p>
    <w:p>
      <w:pPr>
        <w:pStyle w:val="Heading3"/>
        <w:widowControl/>
      </w:pPr>
      <w:r>
        <w:rPr>
          <w:rFonts w:ascii="Mendl Sans Dusk Medium" w:hAnsi="Mendl Sans Dusk Medium" w:eastAsia="Mendl Sans Dusk Medium" w:cs="Mendl Sans Dusk Medium"/>
          <w:b/>
          <w:color w:val="1E392C"/>
          <w:sz w:val="23"/>
        </w:rPr>
        <w:t>12.1 Strategic Intent</w:t>
      </w:r>
    </w:p>
    <w:p>
      <w:pPr>
        <w:widowControl/>
      </w:pPr>
      <w:r>
        <w:rPr>
          <w:rFonts w:ascii="Mendl Sans Dusk Regular" w:hAnsi="Mendl Sans Dusk Regular" w:eastAsia="Mendl Sans Dusk Regular" w:cs="Mendl Sans Dusk Regular"/>
          <w:b w:val="0"/>
          <w:color w:val="202723"/>
          <w:sz w:val="21"/>
        </w:rPr>
        <w:t>The core MH Construction promise is 'Building projects for the client, NOT the dollar.' This philosophy is operationalized through our communication standards. The Sales Commander and PM Wings must ensure that owners, architects, and engineers are treated as active partners, not adversaries, throughout the project lifecycle.</w:t>
      </w:r>
    </w:p>
    <w:p>
      <w:pPr>
        <w:pStyle w:val="Heading3"/>
        <w:widowControl/>
      </w:pPr>
      <w:r>
        <w:rPr>
          <w:rFonts w:ascii="Mendl Sans Dusk Medium" w:hAnsi="Mendl Sans Dusk Medium" w:eastAsia="Mendl Sans Dusk Medium" w:cs="Mendl Sans Dusk Medium"/>
          <w:b/>
          <w:color w:val="1E392C"/>
          <w:sz w:val="23"/>
        </w:rPr>
        <w:t>12.2 Communication Cadence</w:t>
      </w:r>
    </w:p>
    <w:p>
      <w:pPr>
        <w:widowControl/>
      </w:pPr>
      <w:r>
        <w:rPr>
          <w:rFonts w:ascii="Mendl Sans Dusk Regular" w:hAnsi="Mendl Sans Dusk Regular" w:eastAsia="Mendl Sans Dusk Regular" w:cs="Mendl Sans Dusk Regular"/>
          <w:b w:val="0"/>
          <w:color w:val="202723"/>
          <w:sz w:val="21"/>
        </w:rPr>
        <w:t>Proactive communication prevents adversarial relationships. The following cadence is mandatory for all active projects:</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Weekly Updates: The Project Manager must provide a brief weekly update to the client/owner's rep detailing progress, upcoming milestones, and any immediate roadblocks. This is logged in Procore.</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Monthly Progress Meetings: Formal OAC (Owner, Architect, Contractor) meetings must be held monthly to review schedule, budget, and RFI status.</w:t>
      </w:r>
    </w:p>
    <w:p>
      <w:pPr>
        <w:pStyle w:val="Heading3"/>
        <w:widowControl/>
      </w:pPr>
      <w:r>
        <w:rPr>
          <w:rFonts w:ascii="Mendl Sans Dusk Medium" w:hAnsi="Mendl Sans Dusk Medium" w:eastAsia="Mendl Sans Dusk Medium" w:cs="Mendl Sans Dusk Medium"/>
          <w:b/>
          <w:color w:val="1E392C"/>
          <w:sz w:val="23"/>
        </w:rPr>
        <w:t>12.3 RFI and Change Order Transparency</w:t>
      </w:r>
    </w:p>
    <w:p>
      <w:pPr>
        <w:widowControl/>
      </w:pPr>
      <w:r>
        <w:rPr>
          <w:rFonts w:ascii="Mendl Sans Dusk Regular" w:hAnsi="Mendl Sans Dusk Regular" w:eastAsia="Mendl Sans Dusk Regular" w:cs="Mendl Sans Dusk Regular"/>
          <w:b w:val="0"/>
          <w:color w:val="202723"/>
          <w:sz w:val="21"/>
        </w:rPr>
        <w:t>All RFIs and Change Orders must be submitted through Procore with complete context. The Senior Estimator and PM must ensure that cost impacts are clearly justified. We do not hide costs or ambush clients with unexpected change orders at the end of a project. If a change is necessary, it is communicated immediately.</w:t>
      </w:r>
    </w:p>
    <w:p>
      <w:pPr>
        <w:pStyle w:val="Heading3"/>
        <w:widowControl/>
      </w:pPr>
      <w:r>
        <w:rPr>
          <w:rFonts w:ascii="Mendl Sans Dusk Medium" w:hAnsi="Mendl Sans Dusk Medium" w:eastAsia="Mendl Sans Dusk Medium" w:cs="Mendl Sans Dusk Medium"/>
          <w:b/>
          <w:color w:val="1E392C"/>
          <w:sz w:val="23"/>
        </w:rPr>
        <w:t>12.4 Handshake Protocol</w:t>
      </w:r>
    </w:p>
    <w:p>
      <w:pPr>
        <w:widowControl/>
      </w:pPr>
      <w:r>
        <w:rPr>
          <w:rFonts w:ascii="Mendl Sans Dusk Regular" w:hAnsi="Mendl Sans Dusk Regular" w:eastAsia="Mendl Sans Dusk Regular" w:cs="Mendl Sans Dusk Regular"/>
          <w:b w:val="0"/>
          <w:color w:val="202723"/>
          <w:sz w:val="21"/>
        </w:rPr>
        <w:t>Despite our reliance on digital infrastructure (Procore, High-Level), the 'digital handshake' must reflect the integrity of a physical one. The Sales Commander is responsible for maintaining the personal relationship with the client even after the project is handed off to the PM Wing.</w:t>
      </w:r>
    </w:p>
    <w:p>
      <w:pPr>
        <w:pStyle w:val="Heading3"/>
        <w:widowControl/>
      </w:pPr>
      <w:r>
        <w:rPr>
          <w:rFonts w:ascii="Mendl Sans Dusk Medium" w:hAnsi="Mendl Sans Dusk Medium" w:eastAsia="Mendl Sans Dusk Medium" w:cs="Mendl Sans Dusk Medium"/>
          <w:b/>
          <w:color w:val="1E392C"/>
          <w:sz w:val="23"/>
        </w:rPr>
        <w:t>DIRECTIVE - Sales Standard</w:t>
      </w:r>
    </w:p>
    <w:p>
      <w:pPr>
        <w:pStyle w:val="Heading4"/>
        <w:widowControl/>
      </w:pPr>
      <w:r>
        <w:rPr>
          <w:rFonts w:ascii="Mendl Sans Dusk Regular" w:hAnsi="Mendl Sans Dusk Regular" w:eastAsia="Mendl Sans Dusk Regular" w:cs="Mendl Sans Dusk Regular"/>
          <w:b w:val="0"/>
          <w:color w:val="202723"/>
          <w:sz w:val="21"/>
        </w:rPr>
        <w:t>GENERAL ORDER - Procedure</w:t>
      </w:r>
    </w:p>
    <w:p>
      <w:pPr>
        <w:pStyle w:val="Heading4"/>
        <w:widowControl/>
      </w:pPr>
      <w:r>
        <w:rPr>
          <w:rFonts w:ascii="Mendl Sans Dusk Regular" w:hAnsi="Mendl Sans Dusk Regular" w:eastAsia="Mendl Sans Dusk Regular" w:cs="Mendl Sans Dusk Regular"/>
          <w:b w:val="0"/>
          <w:color w:val="202723"/>
          <w:sz w:val="21"/>
        </w:rPr>
        <w:t>FIELD INSTRUCTION - Execution</w:t>
      </w:r>
    </w:p>
    <w:p>
      <w:pPr>
        <w:pStyle w:val="Heading2"/>
        <w:widowControl/>
      </w:pPr>
      <w:r>
        <w:rPr>
          <w:rFonts w:ascii="Mendl Sans Dusk Medium" w:hAnsi="Mendl Sans Dusk Medium" w:eastAsia="Mendl Sans Dusk Medium" w:cs="Mendl Sans Dusk Medium"/>
          <w:b/>
          <w:color w:val="628F79"/>
          <w:sz w:val="26"/>
        </w:rPr>
        <w:t>SE-13.0 | Digital Handshake and CRM Governance</w:t>
      </w:r>
    </w:p>
    <w:p>
      <w:pPr>
        <w:widowControl/>
      </w:pPr>
      <w:r>
        <w:rPr>
          <w:rFonts w:ascii="Mendl Sans Dusk Regular" w:hAnsi="Mendl Sans Dusk Regular" w:eastAsia="Mendl Sans Dusk Regular" w:cs="Mendl Sans Dusk Regular"/>
          <w:b w:val="0"/>
          <w:color w:val="202723"/>
          <w:sz w:val="21"/>
        </w:rPr>
        <w:t>DIRECTIVE: SE-13-DIR-01: Purpose. The "digital handshake" is the operational standard for client relationship management at MH Construction. It ensures that the integrity of a physical handshake is maintained throughout the digital lifecycle of a project. BidPilot is the canonical system of record for all pre-award relationship data.</w:t>
      </w:r>
    </w:p>
    <w:p>
      <w:pPr>
        <w:widowControl/>
      </w:pPr>
      <w:r>
        <w:rPr>
          <w:rFonts w:ascii="Mendl Sans Dusk Regular" w:hAnsi="Mendl Sans Dusk Regular" w:eastAsia="Mendl Sans Dusk Regular" w:cs="Mendl Sans Dusk Regular"/>
          <w:b w:val="0"/>
          <w:color w:val="202723"/>
          <w:sz w:val="21"/>
        </w:rPr>
        <w:t>GENERAL ORDER: SE-13-GO-01: BidPilot Mandate. All inbound leads, opportunity qualifications, and client communications prior to contract execution must be logged in BidPilot. The CHNAV is responsible for ensuring pipeline accuracy and lead attribution.</w:t>
      </w:r>
    </w:p>
    <w:p>
      <w:pPr>
        <w:widowControl/>
      </w:pPr>
      <w:r>
        <w:rPr>
          <w:rFonts w:ascii="Mendl Sans Dusk Regular" w:hAnsi="Mendl Sans Dusk Regular" w:eastAsia="Mendl Sans Dusk Regular" w:cs="Mendl Sans Dusk Regular"/>
          <w:b w:val="0"/>
          <w:color w:val="202723"/>
          <w:sz w:val="21"/>
        </w:rPr>
        <w:t>GENERAL ORDER: SE-13-GO-02: The 24-Hour Rule. All client inquiries (phone, email, web form) must receive a substantive response within 24 hours. If an estimate or RFI answer is not ready, a status update must be provided.</w:t>
      </w:r>
    </w:p>
    <w:p>
      <w:pPr>
        <w:widowControl/>
      </w:pPr>
      <w:r>
        <w:rPr>
          <w:rFonts w:ascii="Mendl Sans Dusk Regular" w:hAnsi="Mendl Sans Dusk Regular" w:eastAsia="Mendl Sans Dusk Regular" w:cs="Mendl Sans Dusk Regular"/>
          <w:b w:val="0"/>
          <w:color w:val="202723"/>
          <w:sz w:val="21"/>
        </w:rPr>
        <w:t>FIELD INSTRUCTION: SE-13-FI-01: CRM Logging. After every significant client interaction (site walk, proposal review, scope clarification), the Sales Commander or CHNAV must log a brief summary in the BidPilot contact record.</w:t>
      </w:r>
    </w:p>
    <w:sectPr w:rsidR="00FC693F" w:rsidRPr="0006063C" w:rsidSect="00034616">
      <w:headerReference w:type="default" r:id="rId9"/>
      <w:footerReference w:type="default" r:id="rId10"/>
      <w:headerReference w:type="first" r:id="rId15"/>
      <w:footerReference w:type="first" r:id="rId16"/>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Mendl Sans Dusk Regular" w:hAnsi="Mendl Sans Dusk Regular" w:eastAsia="Mendl Sans Dusk Regular" w:cs="Mendl Sans Dusk Regular"/>
        <w:color w:val="BD9264"/>
        <w:sz w:val="14"/>
      </w:rPr>
      <w:t>Controlled MH Ecosystem | Draft | Page 1</w:t>
    </w:r>
    <w:r>
      <w:rPr>
        <w:rFonts w:ascii="Mendl Sans Dusk Regular" w:hAnsi="Mendl Sans Dusk Regular" w:eastAsia="Mendl Sans Dusk Regular" w:cs="Mendl Sans Dusk Regular"/>
        <w:color w:val="BD9264"/>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color w:val="BD9264"/>
        <w:sz w:val="14"/>
      </w:rPr>
      <w:t xml:space="preserve">Controlled MH Ecosystem | Page </w:t>
    </w:r>
    <w:r>
      <w:rPr>
        <w:rFonts w:ascii="Mendl Sans Dusk Regular" w:hAnsi="Mendl Sans Dusk Regular" w:eastAsia="Mendl Sans Dusk Regular" w:cs="Mendl Sans Dusk Regular"/>
        <w:color w:val="BD9264"/>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widowControl/>
      <w:pBdr>
        <w:bottom w:val="single" w:sz="6" w:space="7" w:color="BD9264"/>
      </w:pBd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310896" cy="17717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10896" cy="177173"/>
                  </a:xfrm>
                  <a:prstGeom prst="rect"/>
                </pic:spPr>
              </pic:pic>
            </a:graphicData>
          </a:graphic>
        </wp:inline>
      </w:drawing>
    </w:r>
    <w:r>
      <w:rPr>
        <w:rFonts w:ascii="Mendl Sans Dusk Regular" w:hAnsi="Mendl Sans Dusk Regular" w:eastAsia="Mendl Sans Dusk Regular" w:cs="Mendl Sans Dusk Regular"/>
        <w:b/>
        <w:color w:val="386851"/>
        <w:sz w:val="15"/>
      </w:rPr>
      <w:t xml:space="preserve">  MH CONSTRUCTION | ENTERPRISE MANAGEMENT SYSTEM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endl Sans Dusk Regular" w:hAnsi="Mendl Sans Dusk Regular"/>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Mendl Sans Dusk Medium" w:hAnsi="Mendl Sans Dusk Medium"/>
      <w:b/>
      <w:bCs/>
      <w:i/>
      <w:iCs/>
      <w:color w:val="20272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 Id="rId15" Type="http://schemas.openxmlformats.org/officeDocument/2006/relationships/header" Target="header2.xml"/><Relationship Id="rId1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7DF3169-8AFD-4C23-B374-18AE660E1DBC}"/>
</file>

<file path=customXml/itemProps3.xml><?xml version="1.0" encoding="utf-8"?>
<ds:datastoreItem xmlns:ds="http://schemas.openxmlformats.org/officeDocument/2006/customXml" ds:itemID="{3F7D56B5-E69B-4663-A9E0-707B4EE94677}"/>
</file>

<file path=customXml/itemProps4.xml><?xml version="1.0" encoding="utf-8"?>
<ds:datastoreItem xmlns:ds="http://schemas.openxmlformats.org/officeDocument/2006/customXml" ds:itemID="{2C7878EC-6855-4CA6-93BD-6C5DA4EEBBE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And Estimating Guide</dc:title>
  <dc:subject>Enterprise management system</dc:subject>
  <dc:creator>Matt Ramsey</dc:creator>
  <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