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Pep Ccp And Warranty Addendum</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PROJECT DELIVERY\nControlled file: mh-pep-ccp-and-warranty-addendum-v1-0-draft.docx\nLifecycle: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jc w:val="center"/>
      </w:pPr>
      <w:r>
        <w:rPr>
          <w:rFonts w:ascii="Mendl Sans Dusk Regular" w:hAnsi="Mendl Sans Dusk Regular" w:eastAsia="Mendl Sans Dusk Regular" w:cs="Mendl Sans Dusk Regular"/>
          <w:b/>
          <w:color w:val="386851"/>
          <w:sz w:val="22"/>
        </w:rPr>
        <w:t>MH CONSTRUCTION, INC.</w:t>
        <w:br/>
        <w:t>3111 N. Capitol Ave., Pasco, WA 99301 | (509) 308-6489 | office@mhc-gc.com</w:t>
      </w:r>
    </w:p>
    <w:p>
      <w:pPr>
        <w:widowControl/>
        <w:jc w:val="center"/>
      </w:pPr>
      <w:r>
        <w:rPr>
          <w:rFonts w:ascii="Mendl Sans Dusk Regular" w:hAnsi="Mendl Sans Dusk Regular" w:cs="Mendl Sans Dusk Regular" w:eastAsia="Mendl Sans Dusk Regular"/>
          <w:b/>
          <w:i w:val="0"/>
          <w:color w:val="000000"/>
          <w:sz w:val="22"/>
        </w:rPr>
        <w:t>MH CONSTRUCTION, INC.</w:t>
      </w:r>
    </w:p>
    <w:p>
      <w:pPr>
        <w:widowControl/>
        <w:jc w:val="center"/>
      </w:pPr>
      <w:r>
        <w:rPr>
          <w:rFonts w:ascii="Mendl Sans Dusk Regular" w:hAnsi="Mendl Sans Dusk Regular" w:cs="Mendl Sans Dusk Regular" w:eastAsia="Mendl Sans Dusk Regular"/>
          <w:b/>
          <w:i w:val="0"/>
          <w:color w:val="000000"/>
          <w:sz w:val="22"/>
        </w:rPr>
        <w:t>PROJECT EXECUTION PLAYBOOK (PEP)</w:t>
        <w:br/>
        <w:t>ADDENDUM: CLIENT COMMUNICATION &amp; WARRANTY</w:t>
      </w:r>
    </w:p>
    <w:p>
      <w:pPr>
        <w:widowControl/>
      </w:pPr>
      <w:r>
        <w:rPr>
          <w:rFonts w:ascii="Mendl Sans Dusk Regular" w:hAnsi="Mendl Sans Dusk Regular" w:cs="Mendl Sans Dusk Regular" w:eastAsia="Mendl Sans Dusk Regular"/>
          <w:b w:val="0"/>
          <w:i w:val="0"/>
          <w:color w:val="000000"/>
          <w:sz w:val="22"/>
        </w:rPr>
        <w:br w:type="page"/>
      </w:r>
    </w:p>
    <w:p>
      <w:pPr>
        <w:widowControl/>
      </w:pPr>
      <w:r>
        <w:rPr>
          <w:rFonts w:ascii="Mendl Sans Dusk Regular" w:hAnsi="Mendl Sans Dusk Regular" w:cs="Mendl Sans Dusk Regular" w:eastAsia="Mendl Sans Dusk Regular"/>
          <w:b/>
          <w:i w:val="0"/>
          <w:color w:val="000000"/>
          <w:sz w:val="22"/>
        </w:rPr>
        <w:t>PEP-09.0: CLIENT COMMUNICATION PROTOCOL (CCP)</w:t>
      </w:r>
    </w:p>
    <w:p>
      <w:pPr>
        <w:widowControl/>
      </w:pPr>
      <w:r>
        <w:rPr>
          <w:rFonts w:ascii="Mendl Sans Dusk Regular" w:hAnsi="Mendl Sans Dusk Regular" w:cs="Mendl Sans Dusk Regular" w:eastAsia="Mendl Sans Dusk Regular"/>
          <w:b/>
          <w:i w:val="0"/>
          <w:color w:val="000000"/>
          <w:sz w:val="22"/>
        </w:rPr>
        <w:t>DIRECTIVE: PEP-09-DIR-01: All written communication with an Owner or Architect during a dispute, delay, or force majeure event must be treated as a legal record.</w:t>
      </w:r>
    </w:p>
    <w:p>
      <w:pPr>
        <w:widowControl/>
      </w:pPr>
      <w:r>
        <w:rPr>
          <w:rFonts w:ascii="Mendl Sans Dusk Regular" w:hAnsi="Mendl Sans Dusk Regular" w:cs="Mendl Sans Dusk Regular" w:eastAsia="Mendl Sans Dusk Regular"/>
          <w:b/>
          <w:i w:val="0"/>
          <w:color w:val="000000"/>
          <w:sz w:val="22"/>
        </w:rPr>
        <w:t>GENERAL ORDER: PEP-09-GO-01: Delay Notification. If a project is delayed by weather, Owner action, or supply chain failure, the PM must issue a formal Notice of Delay via Procore within 48 hours of the event.</w:t>
      </w:r>
    </w:p>
    <w:p>
      <w:pPr>
        <w:widowControl/>
      </w:pPr>
      <w:r>
        <w:rPr>
          <w:rFonts w:ascii="Mendl Sans Dusk Regular" w:hAnsi="Mendl Sans Dusk Regular" w:cs="Mendl Sans Dusk Regular" w:eastAsia="Mendl Sans Dusk Regular"/>
          <w:b w:val="0"/>
          <w:i w:val="0"/>
          <w:color w:val="000000"/>
          <w:sz w:val="22"/>
        </w:rPr>
        <w:t>Text messages and phone calls do not constitute formal notice under MH Construction prime contracts. All critical path impacts must be documented in writing.</w:t>
      </w:r>
    </w:p>
    <w:p>
      <w:pPr>
        <w:widowControl/>
      </w:pPr>
      <w:r>
        <w:rPr>
          <w:rFonts w:ascii="Mendl Sans Dusk Regular" w:hAnsi="Mendl Sans Dusk Regular" w:cs="Mendl Sans Dusk Regular" w:eastAsia="Mendl Sans Dusk Regular"/>
          <w:b/>
          <w:i w:val="0"/>
          <w:color w:val="000000"/>
          <w:sz w:val="22"/>
        </w:rPr>
        <w:t>PEP-10.0: WARRANTY MANAGEMENT</w:t>
      </w:r>
    </w:p>
    <w:p>
      <w:pPr>
        <w:widowControl/>
      </w:pPr>
      <w:r>
        <w:rPr>
          <w:rFonts w:ascii="Mendl Sans Dusk Regular" w:hAnsi="Mendl Sans Dusk Regular" w:cs="Mendl Sans Dusk Regular" w:eastAsia="Mendl Sans Dusk Regular"/>
          <w:b/>
          <w:i w:val="0"/>
          <w:color w:val="000000"/>
          <w:sz w:val="22"/>
        </w:rPr>
        <w:t>DIRECTIVE: PEP-10-DIR-01: The project is not complete until the 1-year standard warranty period expires. The PM Wing Lead retains ownership of the client relationship during this period.</w:t>
      </w:r>
    </w:p>
    <w:p>
      <w:pPr>
        <w:widowControl/>
      </w:pPr>
      <w:r>
        <w:rPr>
          <w:rFonts w:ascii="Mendl Sans Dusk Regular" w:hAnsi="Mendl Sans Dusk Regular" w:cs="Mendl Sans Dusk Regular" w:eastAsia="Mendl Sans Dusk Regular"/>
          <w:b/>
          <w:i w:val="0"/>
          <w:color w:val="000000"/>
          <w:sz w:val="22"/>
        </w:rPr>
        <w:t>GENERAL ORDER: PEP-10-GO-01: Warranty Response Standard. All warranty claims submitted by an Owner must be acknowledged within 24 hours. Emergency warranty claims (water intrusion, power loss) require a 4-hour mobilization response.</w:t>
      </w:r>
    </w:p>
    <w:p>
      <w:pPr>
        <w:widowControl/>
      </w:pPr>
      <w:r>
        <w:rPr>
          <w:rFonts w:ascii="Mendl Sans Dusk Regular" w:hAnsi="Mendl Sans Dusk Regular" w:cs="Mendl Sans Dusk Regular" w:eastAsia="Mendl Sans Dusk Regular"/>
          <w:b w:val="0"/>
          <w:i w:val="0"/>
          <w:color w:val="000000"/>
          <w:sz w:val="22"/>
        </w:rPr>
        <w:t>Warranty work must be tracked in Sage 100 under a dedicated Warranty Cost Code to accurately measure post-closeout liability costs.</w:t>
      </w:r>
    </w:p>
    <w:p>
      <w:pPr>
        <w:widowControl/>
      </w:pPr>
      <w:r>
        <w:rPr>
          <w:rFonts w:ascii="Mendl Sans Dusk Regular" w:hAnsi="Mendl Sans Dusk Regular" w:eastAsia="Mendl Sans Dusk Regular" w:cs="Mendl Sans Dusk Regular"/>
          <w:sz w:val="22"/>
        </w:rPr>
        <w:t>Implementation &amp; Governance</w:t>
        <w:br/>
        <w:t>The directives and procedures outlined in this document are mandatory for all MH Construction personnel and authorized subcontractors. The Chief Operating Officer (COO) and designated Department Heads are responsible for the enforcement, regular review, and continuous improvement of these standards. Any deviations from this protocol must be formally requested via an RFI and approved in writing by the Executive Command tier prior to execution. This document is a living standard and will be updated as required to maintain alignment with enterprise strategy, regulatory changes, and operational best practices.</w:t>
      </w:r>
    </w:p>
    <w:p>
      <w:pPr>
        <w:widowControl/>
      </w:pPr>
      <w:r>
        <w:rPr>
          <w:rFonts w:ascii="Mendl Sans Dusk Regular" w:hAnsi="Mendl Sans Dusk Regular" w:eastAsia="Mendl Sans Dusk Regular" w:cs="Mendl Sans Dusk Regular"/>
          <w:sz w:val="22"/>
        </w:rPr>
        <w:br/>
        <w:t>DIRECTIVE</w:t>
        <w:br/>
        <w:t>All personnel must comply with the protocols herein.</w:t>
        <w:br/>
        <w:t>GENERAL ORDER</w:t>
        <w:br/>
        <w:t>Managers will enforce these rules.</w:t>
        <w:br/>
        <w:t>FIELD INSTRUCTION</w:t>
        <w:br/>
        <w:t>Execute tasks safely.</w:t>
        <w:br/>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