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Subcontractor Management Manual</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PROJECT DELIVERY\nControlled file: mh-subcontractor-management-manual-v1-0-draft.docx\nLifecycle: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Subcontractor Management Manual</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SUB-001 Version: 1.0 Owner: Procurement / Project Controls Lead Approver: President/CEO - Acting COO Status: Draft - functional, technical and field approval required Classification: Internal - controlled System of record: Approved vendor and project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subcontractor management manual.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Prequalification, insurance, licensing and safety review</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Scope, buyout, execution and field-performance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Payment, waiver, evaluation and dispute administration</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Approve the vendor record before award or mobilization.</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Issue a defined scope and validate compliance before payment.</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Evaluate safety, quality, schedule and administrative performance at closeout.</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Vendor prequalification record</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Subcontractor performance evaluation</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Counsel-approved waiver instrument</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EC4A40B-5F1F-407D-BA58-51B86F8A3BE9}"/>
</file>

<file path=customXml/itemProps3.xml><?xml version="1.0" encoding="utf-8"?>
<ds:datastoreItem xmlns:ds="http://schemas.openxmlformats.org/officeDocument/2006/customXml" ds:itemID="{267CB40E-AD43-4FD6-9BB9-085C1B252D2E}"/>
</file>

<file path=customXml/itemProps4.xml><?xml version="1.0" encoding="utf-8"?>
<ds:datastoreItem xmlns:ds="http://schemas.openxmlformats.org/officeDocument/2006/customXml" ds:itemID="{68AF0C5A-A504-4D4A-8399-C3D81D1593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 Management Manual</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