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TBT-01.01 | Hazard Communication And Ghs</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TBT-01.01 | Hazard Communication And Ghs</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TBT-01.01: Hazard Communication &amp; GHS</w:t>
      </w:r>
    </w:p>
    <w:p>
      <w:pPr>
        <w:pStyle w:val="Normal"/>
        <w:widowControl/>
        <w:rPr/>
      </w:pPr>
      <w:r>
        <w:rPr>
          <w:rFonts w:eastAsia="Mendl Sans Dusk Regular" w:cs="Mendl Sans Dusk Regular"/>
          <w:b w:val="false"/>
          <w:i w:val="false"/>
          <w:color w:val="000000"/>
          <w:sz w:val="22"/>
        </w:rPr>
        <w:t>CSI Division: Div 01 | OSHA Reference: 29 CFR 1926.59</w:t>
      </w:r>
    </w:p>
    <w:p>
      <w:pPr>
        <w:pStyle w:val="Normal"/>
        <w:widowControl/>
        <w:rPr/>
      </w:pPr>
      <w:r>
        <w:rPr>
          <w:rFonts w:eastAsia="Mendl Sans Dusk Regular" w:cs="Mendl Sans Dusk Regular"/>
          <w:b w:val="false"/>
          <w:i w:val="false"/>
          <w:color w:val="000000"/>
          <w:sz w:val="22"/>
        </w:rPr>
        <w:t>Delivery: Mandatory for all new hires; required when new chemical hazards are introduced to the site.</w:t>
      </w:r>
    </w:p>
    <w:p>
      <w:pPr>
        <w:pStyle w:val="Heading2"/>
        <w:widowControl/>
        <w:rPr/>
      </w:pPr>
      <w:r>
        <w:rPr>
          <w:rFonts w:eastAsia="Mendl Sans Dusk Medium" w:cs="Mendl Sans Dusk Medium" w:ascii="Mendl Sans Dusk Medium" w:hAnsi="Mendl Sans Dusk Medium"/>
          <w:b/>
          <w:i w:val="false"/>
          <w:color w:val="628F79"/>
          <w:sz w:val="26"/>
        </w:rPr>
        <w:t>DIRECTIVE — Policy Standard</w:t>
      </w:r>
    </w:p>
    <w:p>
      <w:pPr>
        <w:pStyle w:val="Normal"/>
        <w:widowControl/>
        <w:rPr/>
      </w:pPr>
      <w:r>
        <w:rPr>
          <w:rFonts w:eastAsia="Mendl Sans Dusk Regular" w:cs="Mendl Sans Dusk Regular"/>
          <w:b w:val="false"/>
          <w:i w:val="false"/>
          <w:color w:val="000000"/>
          <w:sz w:val="22"/>
        </w:rPr>
        <w:t>No employee shall handle, mix, or be exposed to any hazardous chemical on an MH Construction, INC jobsite without prior training on the Global Harmonized System (GHS) and verified access to the product's Safety Data Sheet (SDS).</w:t>
      </w:r>
    </w:p>
    <w:p>
      <w:pPr>
        <w:pStyle w:val="Heading3"/>
        <w:widowControl/>
        <w:rPr/>
      </w:pPr>
      <w:r>
        <w:rPr>
          <w:rFonts w:eastAsia="Mendl Sans Dusk Medium" w:cs="Mendl Sans Dusk Medium" w:ascii="Mendl Sans Dusk Medium" w:hAnsi="Mendl Sans Dusk Medium"/>
          <w:b/>
          <w:i w:val="false"/>
          <w:color w:val="1E392C"/>
          <w:sz w:val="23"/>
        </w:rPr>
        <w:t>GENERAL ORDER — Procedure</w:t>
      </w:r>
    </w:p>
    <w:p>
      <w:pPr>
        <w:pStyle w:val="Normal"/>
        <w:widowControl/>
        <w:rPr/>
      </w:pPr>
      <w:r>
        <w:rPr>
          <w:rFonts w:eastAsia="Mendl Sans Dusk Regular" w:cs="Mendl Sans Dusk Regular"/>
          <w:b w:val="false"/>
          <w:i w:val="false"/>
          <w:color w:val="000000"/>
          <w:sz w:val="22"/>
        </w:rPr>
        <w:t>The Right to Know is an absolute standard. Every chemical brought onto the site—whether by MH crews or subcontractors—must be logged on MISH-F-14.1 (Chemical Inventory Log). The physical SDS binder must be located at the primary gang box or site office, clearly marked, and accessible to all workers 24/7. Secondary containers must be labeled with the product name and primary GHS hazard pictograms.</w:t>
      </w:r>
    </w:p>
    <w:p>
      <w:pPr>
        <w:pStyle w:val="Heading3"/>
        <w:widowControl/>
        <w:rPr/>
      </w:pPr>
      <w:r>
        <w:rPr>
          <w:rFonts w:eastAsia="Mendl Sans Dusk Medium" w:cs="Mendl Sans Dusk Medium" w:ascii="Mendl Sans Dusk Medium" w:hAnsi="Mendl Sans Dusk Medium"/>
          <w:b/>
          <w:i w:val="false"/>
          <w:color w:val="1E392C"/>
          <w:sz w:val="23"/>
        </w:rPr>
        <w:t>Key Hazards &amp; Mitigation (The 'What If'):</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Unlabeled Secondary Containers: If a worker finds a water bottle filled with an unknown clear liquid, DO NOT smell or taste it. Treat it as hazardous waste, secure the area, and notify the Foreman immediately.</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Subcontractor Chemical Introduction: If a flooring sub arrives with new two-part epoxy, they cannot begin work until their SDS is handed to the MH Foreman and added to the site binder.</w:t>
      </w:r>
    </w:p>
    <w:p>
      <w:pPr>
        <w:pStyle w:val="Normal"/>
        <w:widowControl/>
        <w:rPr/>
      </w:pPr>
      <w:r>
        <w:rPr>
          <w:rFonts w:eastAsia="Mendl Sans Dusk Regular" w:cs="Mendl Sans Dusk Regular"/>
          <w:b w:val="false"/>
          <w:i w:val="false"/>
          <w:color w:val="000000"/>
          <w:sz w:val="22"/>
        </w:rPr>
        <w:t xml:space="preserve">• </w:t>
      </w:r>
      <w:r>
        <w:rPr>
          <w:rFonts w:eastAsia="Mendl Sans Dusk Regular" w:cs="Mendl Sans Dusk Regular"/>
          <w:b w:val="false"/>
          <w:i w:val="false"/>
          <w:color w:val="000000"/>
          <w:sz w:val="22"/>
        </w:rPr>
        <w:t>Accidental Exposure/Spill: If a worker gets solvent in their eyes, the crew must immediately reference the SDS First Aid section (Section 4) while another worker guides them to the eyewash station.</w:t>
      </w:r>
    </w:p>
    <w:p>
      <w:pPr>
        <w:pStyle w:val="Heading4"/>
        <w:widowControl/>
        <w:rPr/>
      </w:pPr>
      <w:r>
        <w:rPr>
          <w:rFonts w:eastAsia="Mendl Sans Dusk Regular" w:cs="Mendl Sans Dusk Regular" w:ascii="Mendl Sans Dusk Regular" w:hAnsi="Mendl Sans Dusk Regular"/>
          <w:b/>
          <w:i w:val="false"/>
          <w:color w:val="000000"/>
          <w:sz w:val="22"/>
        </w:rPr>
        <w:t>FIELD INSTRUCTION — Execution</w:t>
      </w:r>
    </w:p>
    <w:p>
      <w:pPr>
        <w:pStyle w:val="Normal"/>
        <w:widowControl/>
        <w:rPr/>
      </w:pPr>
      <w:r>
        <w:rPr>
          <w:rFonts w:eastAsia="Mendl Sans Dusk Regular" w:cs="Mendl Sans Dusk Regular"/>
          <w:b/>
          <w:i/>
          <w:color w:val="BD9264"/>
          <w:sz w:val="20"/>
        </w:rPr>
        <w:t>FIELD INSTRUCTION: Foremen must physically show the crew where the SDS binder is located today. Review SDS-QR-01 through SDS-QR-11 for the most common site chemicals. Log attendance on MISH-F-10.1.</w:t>
      </w:r>
    </w:p>
    <w:p>
      <w:pPr>
        <w:pStyle w:val="Normal"/>
        <w:widowControl/>
        <w:rPr/>
      </w:pPr>
      <w:r>
        <w:rPr>
          <w:rFonts w:eastAsia="Mendl Sans Dusk Regular" w:cs="Mendl Sans Dusk Regular"/>
          <w:b w:val="false"/>
          <w:i w:val="false"/>
          <w:color w:val="000000"/>
          <w:sz w:val="22"/>
        </w:rPr>
        <w:br/>
        <w:t>Attendance Roster (Log on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Company/Trade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 w:name="Mendl Sans Dusk Regular">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378</Words>
  <Characters>2052</Characters>
  <CharactersWithSpaces>2406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2026-08-05T19:39:04Z</dcterms:modified>
  <cp:revision>7</cp:revision>
  <dc:subject>MH Ecosystem Version 3.0 Draft</dc:subject>
  <dc:title>TBT-01.01 | Hazard Communication And Ghs</dc:title>
</cp:coreProperties>
</file>

<file path=docProps/custom.xml><?xml version="1.0" encoding="utf-8"?>
<Properties xmlns="http://schemas.openxmlformats.org/officeDocument/2006/custom-properties" xmlns:vt="http://schemas.openxmlformats.org/officeDocument/2006/docPropsVTypes"/>
</file>