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TBT-01.08 | Enforcing Subcontractor Prequalification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TBT-01.08 | Enforcing Subcontractor Prequalification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TBT-01.08: Enforcing Subcontractor Prequalification on Site</w:t>
      </w:r>
    </w:p>
    <w:p>
      <w:pPr>
        <w:pStyle w:val="Normal"/>
        <w:widowControl/>
        <w:rPr/>
      </w:pPr>
      <w:r>
        <w:rPr>
          <w:rFonts w:eastAsia="Mendl Sans Dusk Regular" w:cs="Mendl Sans Dusk Regular"/>
          <w:b w:val="false"/>
          <w:i w:val="false"/>
          <w:color w:val="000000"/>
          <w:sz w:val="22"/>
        </w:rPr>
        <w:t>CSI Division: Div 01 | OSHA Reference: MH Standard</w:t>
      </w:r>
    </w:p>
    <w:p>
      <w:pPr>
        <w:pStyle w:val="Normal"/>
        <w:widowControl/>
        <w:rPr/>
      </w:pPr>
      <w:r>
        <w:rPr>
          <w:rFonts w:eastAsia="Mendl Sans Dusk Regular" w:cs="Mendl Sans Dusk Regular"/>
          <w:b w:val="false"/>
          <w:i w:val="false"/>
          <w:color w:val="000000"/>
          <w:sz w:val="22"/>
        </w:rPr>
        <w:t>Delivery: Mandatory for all Superintendents and Foremen.</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No subcontractor personnel may commence work on an MH Construction, INC site unless their company has an approved SUB-F-02.1 Prequalification on file and they have completed the site-specific safety orientation.</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The MH Foreman is the gatekeeper. If an unknown subcontractor crew arrives on site, the Foreman must halt their work, verify their status with the PM Wing, and conduct the orientation before allowing tools to be unloaded.</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The 'Quick Fix' Sub: If the client sends their own IT vendor to run a cable 'real quick,' they are still a subcontractor. They must be oriented, wear PPE, and follow MH safety rules. No exceptions.</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Missing SDS: If an approved sub arrives but fails to provide the SDS for their chemicals, they cannot bring the chemicals onto the site. Hold the materials at the gate.</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Rogue Foremen: If a sub's Foreman refuses to attend the morning MH Toolbox Talk, their crew does not work that day. Compliance is a condition of their contract.</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verify that every sub on site today has signed the daily JHA (MISH-F-09.2) and the TBT roster. Log attendance on MISH-F-10.1.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325</Words>
  <Characters>1801</Characters>
  <CharactersWithSpaces>2104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2026-08-05T19:39:06Z</dcterms:modified>
  <cp:revision>7</cp:revision>
  <dc:subject>MH Ecosystem Version 3.0 Draft</dc:subject>
  <dc:title>TBT-01.08 | Enforcing Subcontractor Prequalification</dc:title>
</cp:coreProperties>
</file>

<file path=docProps/custom.xml><?xml version="1.0" encoding="utf-8"?>
<Properties xmlns="http://schemas.openxmlformats.org/officeDocument/2006/custom-properties" xmlns:vt="http://schemas.openxmlformats.org/officeDocument/2006/docPropsVTypes"/>
</file>