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TBT-01.09 | Change Order Scope And Safety Review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TBT-01.09 | Change Order Scope And Safety Review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TBT-01.09: Change Order Scope &amp; Safety Review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01 | OSHA Reference: MH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for all Superintendents and Foremen executing Change Order work.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A Change Order alters the baseline scope, which alters the baseline hazard profile. No Change Order work may begin until a new Job Hazard Analysis (JHA) is written specifically for the new scope.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The Foreman must not accept verbal 'go-aheads' from the client that alter the safety plan. The Change Order must be logged on FIN-F-04.1, and the safety implications must be briefed to the crew.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Unexpected Utilities: If a Change Order requires trenching in a new area of the site, the old utility locate is void. A new locate must be called in and cleared before digging.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Schedule Pressure: If a Change Order compresses the schedule, the risk of rushing and cutting corners increases. The Foreman must enforce the standard work pace. Safety does not accelerate.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New Materials: If a Change Order introduces a new architectural finish, it likely introduces a new chemical. Ensure the new SDS is obtained before the material arrives.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review any active Change Orders today and ensure the daily JHA (MISH-F-09.2) explicitly covers the new hazards. Log attendance on MISH-F-10.1.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329</Words>
  <Characters>1785</Characters>
  <CharactersWithSpaces>2092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2026-08-05T19:39:06Z</dcterms:modified>
  <cp:revision>7</cp:revision>
  <dc:subject>MH Ecosystem Version 3.0 Draft</dc:subject>
  <dc:title>TBT-01.09 | Change Order Scope And Safety Review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