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TBT-01.10 | Closeout Punch List Safety Focus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TBT-01.10 | Closeout Punch List Safety Focus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TBT-01.10: Closeout Punch List Safety Focus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01 | OSHA Reference: MH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crews executing final punch list and touch-up work.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The final 5% of a project is statistically the most dangerous due to complacency, reduced supervision, and the mix of construction crews with client personnel moving in.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All MH safety standards (PPE, fall protection, LOTO) remain in full effect until the final punch list item is signed off. 'It's just a quick touch-up' is not an excuse to leave the hard hat in the truck.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Working Around the Client: If client staff are moving furniture into the building while MH is painting the lobby, the work area must be barricaded to protect the public from ladders and wet paint.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Live Systems: During closeout, all electrical and mechanical systems are live. LOTO is critical for any final adjustments. Do not assume a breaker is off just because it was off yesterday.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Housekeeping: As subs demobilize, trash and scrap often accumulate. The site must be broom-swept daily to prevent fire hazards and slip/trip/falls.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review PEP-F-08.1 (Closeout Punch List) and assign specific safety controls for each remaining task.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321</Words>
  <Characters>1748</Characters>
  <CharactersWithSpaces>2047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2026-08-05T19:39:06Z</dcterms:modified>
  <cp:revision>7</cp:revision>
  <dc:subject>MH Ecosystem Version 3.0 Draft</dc:subject>
  <dc:title>TBT-01.10 | Closeout Punch List Safety Focus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